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F70574" w:rsidTr="00D176C8">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F70574" w:rsidRDefault="00F70574" w:rsidP="00D176C8">
            <w:pPr>
              <w:suppressAutoHyphens/>
              <w:autoSpaceDN w:val="0"/>
              <w:spacing w:after="0" w:line="276" w:lineRule="auto"/>
              <w:rPr>
                <w:rFonts w:ascii="Times New Roman" w:eastAsia="Times New Roman" w:hAnsi="Times New Roman" w:cs="Times New Roman"/>
                <w:sz w:val="24"/>
                <w:szCs w:val="24"/>
                <w:lang w:val="en-US" w:eastAsia="ar-SA"/>
              </w:rPr>
            </w:pPr>
            <w:bookmarkStart w:id="0" w:name="_GoBack" w:colFirst="0" w:colLast="1"/>
          </w:p>
          <w:p w:rsidR="00F70574" w:rsidRDefault="00F70574" w:rsidP="00D176C8">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Pr>
                <w:rFonts w:ascii="Times New Roman" w:eastAsia="Times New Roman" w:hAnsi="Times New Roman" w:cs="Times New Roman"/>
                <w:sz w:val="24"/>
                <w:szCs w:val="24"/>
                <w:lang w:eastAsia="ar-SA"/>
              </w:rPr>
              <w:t>МУНИЦИПАЛЬНАЯ  ГАЗЕТА</w:t>
            </w:r>
            <w:proofErr w:type="gramEnd"/>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F70574" w:rsidRDefault="00F70574" w:rsidP="00D176C8">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F70574" w:rsidRDefault="00F70574"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F70574" w:rsidRDefault="00F70574"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Pr>
                <w:rFonts w:ascii="Times New Roman" w:eastAsia="Arial Unicode MS" w:hAnsi="Times New Roman" w:cs="Times New Roman"/>
                <w:sz w:val="56"/>
                <w:szCs w:val="56"/>
                <w:lang w:eastAsia="ar-SA"/>
              </w:rPr>
              <w:t>Беляевский</w:t>
            </w:r>
            <w:proofErr w:type="spellEnd"/>
            <w:r>
              <w:rPr>
                <w:rFonts w:ascii="Times New Roman" w:eastAsia="Arial Unicode MS" w:hAnsi="Times New Roman" w:cs="Times New Roman"/>
                <w:sz w:val="56"/>
                <w:szCs w:val="56"/>
                <w:lang w:eastAsia="ar-SA"/>
              </w:rPr>
              <w:t xml:space="preserve"> сельсовет </w:t>
            </w:r>
          </w:p>
          <w:p w:rsidR="00F70574" w:rsidRDefault="00F70574"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F70574" w:rsidRDefault="00F70574" w:rsidP="00D176C8">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F70574" w:rsidRDefault="00F70574" w:rsidP="00D176C8">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F70574" w:rsidRDefault="00F70574" w:rsidP="00D176C8">
            <w:pPr>
              <w:suppressAutoHyphens/>
              <w:autoSpaceDN w:val="0"/>
              <w:spacing w:after="0" w:line="276" w:lineRule="auto"/>
              <w:rPr>
                <w:rFonts w:ascii="Times New Roman" w:eastAsia="Times New Roman" w:hAnsi="Times New Roman" w:cs="Times New Roman"/>
                <w:sz w:val="24"/>
                <w:szCs w:val="24"/>
                <w:lang w:eastAsia="ar-SA"/>
              </w:rPr>
            </w:pPr>
          </w:p>
          <w:p w:rsidR="00F70574" w:rsidRDefault="00F70574" w:rsidP="00D176C8">
            <w:pPr>
              <w:suppressAutoHyphens/>
              <w:autoSpaceDN w:val="0"/>
              <w:spacing w:after="0" w:line="276" w:lineRule="auto"/>
              <w:rPr>
                <w:rFonts w:ascii="Times New Roman" w:eastAsia="Times New Roman" w:hAnsi="Times New Roman" w:cs="Times New Roman"/>
                <w:sz w:val="24"/>
                <w:szCs w:val="24"/>
                <w:lang w:eastAsia="ar-SA"/>
              </w:rPr>
            </w:pPr>
          </w:p>
          <w:p w:rsidR="00F70574" w:rsidRDefault="00F70574" w:rsidP="00D176C8">
            <w:pPr>
              <w:suppressAutoHyphens/>
              <w:autoSpaceDN w:val="0"/>
              <w:spacing w:after="0" w:line="276" w:lineRule="auto"/>
              <w:rPr>
                <w:rFonts w:ascii="Times New Roman" w:eastAsia="Times New Roman" w:hAnsi="Times New Roman" w:cs="Times New Roman"/>
                <w:sz w:val="24"/>
                <w:szCs w:val="24"/>
                <w:lang w:eastAsia="ar-SA"/>
              </w:rPr>
            </w:pPr>
          </w:p>
          <w:p w:rsidR="00F70574" w:rsidRDefault="00F70574" w:rsidP="00D176C8">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13 (196</w:t>
            </w:r>
            <w:r>
              <w:rPr>
                <w:rFonts w:ascii="Times New Roman" w:eastAsia="Times New Roman" w:hAnsi="Times New Roman" w:cs="Times New Roman"/>
                <w:b/>
                <w:sz w:val="36"/>
                <w:szCs w:val="36"/>
                <w:lang w:eastAsia="ar-SA"/>
              </w:rPr>
              <w:t>)</w:t>
            </w:r>
          </w:p>
          <w:p w:rsidR="00F70574" w:rsidRDefault="00F70574" w:rsidP="00D176C8">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19</w:t>
            </w:r>
            <w:r>
              <w:rPr>
                <w:rFonts w:ascii="Times New Roman" w:eastAsia="Times New Roman" w:hAnsi="Times New Roman" w:cs="Times New Roman"/>
                <w:b/>
                <w:sz w:val="36"/>
                <w:szCs w:val="36"/>
                <w:u w:val="single"/>
                <w:lang w:eastAsia="ar-SA"/>
              </w:rPr>
              <w:t>.06.2025 г.</w:t>
            </w:r>
          </w:p>
          <w:p w:rsidR="00F70574" w:rsidRDefault="00F70574" w:rsidP="00D176C8">
            <w:pPr>
              <w:suppressAutoHyphens/>
              <w:autoSpaceDN w:val="0"/>
              <w:spacing w:after="0" w:line="276" w:lineRule="auto"/>
              <w:rPr>
                <w:rFonts w:ascii="Times New Roman" w:eastAsia="Times New Roman" w:hAnsi="Times New Roman" w:cs="Times New Roman"/>
                <w:b/>
                <w:lang w:eastAsia="ar-SA"/>
              </w:rPr>
            </w:pP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Совет депутатов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сельсовет Беляевского района Оренбургской области</w:t>
            </w: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xml:space="preserve">: глава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w:t>
            </w:r>
            <w:proofErr w:type="gramStart"/>
            <w:r>
              <w:rPr>
                <w:rFonts w:ascii="Times New Roman" w:eastAsia="Times New Roman" w:hAnsi="Times New Roman" w:cs="Times New Roman"/>
                <w:lang w:eastAsia="ar-SA"/>
              </w:rPr>
              <w:t xml:space="preserve">сельсовет  </w:t>
            </w:r>
            <w:proofErr w:type="spellStart"/>
            <w:r>
              <w:rPr>
                <w:rFonts w:ascii="Times New Roman" w:eastAsia="Times New Roman" w:hAnsi="Times New Roman" w:cs="Times New Roman"/>
                <w:lang w:eastAsia="ar-SA"/>
              </w:rPr>
              <w:t>Елешев</w:t>
            </w:r>
            <w:proofErr w:type="spellEnd"/>
            <w:proofErr w:type="gramEnd"/>
            <w:r>
              <w:rPr>
                <w:rFonts w:ascii="Times New Roman" w:eastAsia="Times New Roman" w:hAnsi="Times New Roman" w:cs="Times New Roman"/>
                <w:lang w:eastAsia="ar-SA"/>
              </w:rPr>
              <w:t xml:space="preserve"> М.Х.</w:t>
            </w: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xml:space="preserve">: 461330 Оренбургская область,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район, с. Беляевка, ул. Банковская 9</w:t>
            </w: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F70574" w:rsidRDefault="00F70574" w:rsidP="00D176C8">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F70574" w:rsidRDefault="00F70574" w:rsidP="00D176C8">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Pr>
                <w:rFonts w:ascii="Times New Roman" w:eastAsia="Times New Roman" w:hAnsi="Times New Roman" w:cs="Times New Roman"/>
                <w:b/>
                <w:sz w:val="18"/>
                <w:szCs w:val="18"/>
                <w:lang w:eastAsia="ar-SA"/>
              </w:rPr>
              <w:t>19</w:t>
            </w:r>
            <w:r>
              <w:rPr>
                <w:rFonts w:ascii="Times New Roman" w:eastAsia="Times New Roman" w:hAnsi="Times New Roman" w:cs="Times New Roman"/>
                <w:b/>
                <w:sz w:val="18"/>
                <w:szCs w:val="18"/>
                <w:lang w:eastAsia="ar-SA"/>
              </w:rPr>
              <w:t>.06.2025 г.</w:t>
            </w:r>
            <w:r>
              <w:rPr>
                <w:rFonts w:ascii="Times New Roman" w:eastAsia="Times New Roman" w:hAnsi="Times New Roman" w:cs="Times New Roman"/>
                <w:sz w:val="18"/>
                <w:szCs w:val="18"/>
                <w:lang w:eastAsia="ar-SA"/>
              </w:rPr>
              <w:t xml:space="preserve"> </w:t>
            </w:r>
          </w:p>
        </w:tc>
      </w:tr>
      <w:bookmarkEnd w:id="0"/>
    </w:tbl>
    <w:p w:rsidR="00F70574" w:rsidRDefault="00F70574" w:rsidP="00F70574">
      <w:pPr>
        <w:jc w:val="center"/>
        <w:rPr>
          <w:rFonts w:ascii="Times New Roman" w:hAnsi="Times New Roman" w:cs="Times New Roman"/>
          <w:b/>
          <w:sz w:val="28"/>
          <w:szCs w:val="28"/>
        </w:rPr>
      </w:pPr>
    </w:p>
    <w:p w:rsidR="00696C3E" w:rsidRDefault="00F70574" w:rsidP="00F70574">
      <w:pPr>
        <w:jc w:val="center"/>
        <w:rPr>
          <w:rFonts w:ascii="Times New Roman" w:hAnsi="Times New Roman" w:cs="Times New Roman"/>
          <w:b/>
          <w:sz w:val="28"/>
          <w:szCs w:val="28"/>
          <w:u w:val="single"/>
        </w:rPr>
      </w:pPr>
      <w:r w:rsidRPr="00F70574">
        <w:rPr>
          <w:rFonts w:ascii="Times New Roman" w:hAnsi="Times New Roman" w:cs="Times New Roman"/>
          <w:b/>
          <w:sz w:val="28"/>
          <w:szCs w:val="28"/>
          <w:u w:val="single"/>
        </w:rPr>
        <w:t>Информация прокуратуры</w:t>
      </w:r>
    </w:p>
    <w:p w:rsidR="00F70574" w:rsidRDefault="00F70574" w:rsidP="00F70574">
      <w:pPr>
        <w:spacing w:after="0" w:line="240" w:lineRule="auto"/>
        <w:ind w:firstLine="709"/>
        <w:jc w:val="center"/>
        <w:rPr>
          <w:rFonts w:ascii="Times New Roman" w:hAnsi="Times New Roman"/>
          <w:b/>
          <w:sz w:val="28"/>
        </w:rPr>
      </w:pPr>
      <w:r>
        <w:rPr>
          <w:rFonts w:ascii="Times New Roman" w:hAnsi="Times New Roman"/>
          <w:b/>
          <w:sz w:val="28"/>
        </w:rPr>
        <w:t xml:space="preserve">С 1 сентября 2025 года вступит в силу новое Положение об особенностях исчисления средней заработной платы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Постановлением Правительства Российской Федерации от 24.04.2025 № 540 «Об особенностях порядка исчисления средней заработной платы» утверждено Положение об особенностях порядка исчисления средней заработной платы, согласно которому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Из расчетного периода при расчете среднего заработка исключаются время, а также начисленные за это время суммы за периоды простоя, забастовок, дополнительно оплачиваемых выходных дней для ухода за детьми-инвалидами и др.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Положением определены случаи, когда при определении среднего заработка используется средний дневной заработок, средний часовой </w:t>
      </w:r>
      <w:r>
        <w:rPr>
          <w:rFonts w:ascii="Times New Roman" w:hAnsi="Times New Roman"/>
          <w:sz w:val="28"/>
        </w:rPr>
        <w:lastRenderedPageBreak/>
        <w:t xml:space="preserve">заработок, и определены особенности включения в расчет среднего заработка премий, денежных поощрений и вознаграждений.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установленного законом МРОТ.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С 1 сентября 2025 года вступит в силу Положение об особенностях направления работников в служебные командировки</w:t>
      </w:r>
    </w:p>
    <w:p w:rsidR="00F70574" w:rsidRDefault="00F70574" w:rsidP="00F70574">
      <w:pPr>
        <w:spacing w:after="0" w:line="240" w:lineRule="auto"/>
        <w:ind w:firstLine="709"/>
        <w:jc w:val="center"/>
        <w:rPr>
          <w:rFonts w:ascii="Times New Roman" w:hAnsi="Times New Roman"/>
          <w:b/>
          <w:sz w:val="28"/>
        </w:rPr>
      </w:pPr>
      <w:r>
        <w:rPr>
          <w:rFonts w:ascii="Times New Roman" w:hAnsi="Times New Roman"/>
          <w:b/>
          <w:sz w:val="28"/>
        </w:rPr>
        <w:t xml:space="preserve">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Постановлением Правительства Российской Федерации от 16.04.2025 № 501 утверждено Положение об особенностях направления работников в служебные командировки.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Работники направляются в командировки на основании письменного решения работодателя для выполнения в определенный срок работником служебного поручения вне места постоянной работы. Поездка работника, направляемого на основании письменного решения работодателя в командировку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 Поездки работников, постоянная работа которых осуществляется в пути или имеет разъездной характер, командировками не признаются.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Средний заработок за период нахождения работника в командировке, а также за дни нахождения в пути, в том числе за время вынужденной остановки в пути, сохраняется за все дни работы по графику, установленному в командирующей организации. Работнику при направлении его в командировку выдается денежный аванс на оплату расходов по проезду, расходов по найму жилого помещения и дополнительных расходов, связанных с проживанием вне места постоянного жительства (суточные). В случае вынужденной остановки в пути работнику возмещаются расходы по найму жилого помещения, подтвержденные соответствующими документами.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Работник по возвращении из командировки обязан представить работодателю в течение 3 рабочих дней авансовый отчет об израсходованных в связи с командировкой суммах и произвести окончательный расчет по выданному ему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с командировкой.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hanging="142"/>
        <w:jc w:val="center"/>
        <w:rPr>
          <w:rFonts w:ascii="Times New Roman" w:hAnsi="Times New Roman"/>
          <w:b/>
          <w:sz w:val="28"/>
        </w:rPr>
      </w:pPr>
      <w:r>
        <w:rPr>
          <w:rFonts w:ascii="Times New Roman" w:hAnsi="Times New Roman"/>
          <w:b/>
          <w:sz w:val="28"/>
        </w:rPr>
        <w:t xml:space="preserve">Порядок замены прибора учета потребления природного газа в жилом помещении многоквартирного дома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Согласно пункту 81 Правил предоставления коммунальных услуг собственникам и пользователям помещений в многоквартирных домах и </w:t>
      </w:r>
      <w:r>
        <w:rPr>
          <w:rFonts w:ascii="Times New Roman" w:hAnsi="Times New Roman"/>
          <w:sz w:val="28"/>
        </w:rPr>
        <w:lastRenderedPageBreak/>
        <w:t xml:space="preserve">жилых домов, утвержденных постановлением Правительства Российской Федерации от 06.05.2011 № 354, оснащение жилого помещения приборами учета природного газа,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помещения.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Замена индивидуального прибора учета газа осуществляется на основании договора с </w:t>
      </w:r>
      <w:proofErr w:type="spellStart"/>
      <w:r>
        <w:rPr>
          <w:rFonts w:ascii="Times New Roman" w:hAnsi="Times New Roman"/>
          <w:sz w:val="28"/>
        </w:rPr>
        <w:t>ресурсоснабжающей</w:t>
      </w:r>
      <w:proofErr w:type="spellEnd"/>
      <w:r>
        <w:rPr>
          <w:rFonts w:ascii="Times New Roman" w:hAnsi="Times New Roman"/>
          <w:sz w:val="28"/>
        </w:rPr>
        <w:t xml:space="preserve"> организацией. В соответствии с пунктом 7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 утвержденного приказом Министерства энергетики Российской Федерации от 07.04.2010  № 149, к заявке абонента – физического лица необходимо приложить копии документов, подтверждающих право собственности на объект, подлежащий оснащению прибором учета, документы, подтверждающие полномочия лица, подписавшего заявку, если заявка подписана не собственником. Демонтаж прибора учета потребления природного газа проводится в присутствии поставщика газа с целью снятия показаний прибора учета, проверки сохранности контрольных пломб прибора учета при демонтаже и установке нового прибора учета.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Жилищные права при завещательном отказе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Завещатель вправе обязать наследника квартиры предоставить другому лицу на период жизни этого лица или на иной срок право пользования наследуемой квартирой либо ее определенной частью (завещательный отказ). Завещательный отказ может быть установлен в завещании или наследственном договоре. Гражданин, которому по завещательному отказу предоставлено право пользования жилым помещением, пользуется им наравне с его собственником.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При последующем переходе права собственности на квартиру, входившую в состав наследства, к другому лицу право пользования жилым помещением, предоставленное по завещательному отказу, сохраняет силу. Право на получение завещательного отказа действует в течение трех лет со дня открытия наследства и не переходит к другим лицам. При этом наследодатель (завещатель) может также указать другого </w:t>
      </w:r>
      <w:proofErr w:type="spellStart"/>
      <w:r>
        <w:rPr>
          <w:rFonts w:ascii="Times New Roman" w:hAnsi="Times New Roman"/>
          <w:sz w:val="28"/>
        </w:rPr>
        <w:t>отказополучателя</w:t>
      </w:r>
      <w:proofErr w:type="spellEnd"/>
      <w:r>
        <w:rPr>
          <w:rFonts w:ascii="Times New Roman" w:hAnsi="Times New Roman"/>
          <w:sz w:val="28"/>
        </w:rPr>
        <w:t xml:space="preserve"> на случай, если первый умрет до открытия наследства или одновременно с наследодателем, либо откажется от принятия завещательного отказа или не воспользуется своим правом на получение завещательного отказа, либо лишится права на получение завещательного отказа.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Право пожизненного проживания лиц, отказавшихся от участия в приватизации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lastRenderedPageBreak/>
        <w:t xml:space="preserve">Гражданин, отказавшийся от участия в приватизации квартиры, сохраняет бессрочное право пользования этим жилым помещением, даже если он перестал быть членом семьи собственника жилого помещения.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Если бывший член семьи собственника жилого помещения на момент приватизации имел равные права с лицом, которое впоследствии приобрело в собственность данное помещение, и отказался от приватизации, дав согласие на приватизацию иному лицу, то при переходе права собственности на помещение он не может быть выселен из этого помещения, поскольку имеет право пользования помещением, причем такое право носит бессрочный характер.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Однако судом такое право может быть прекращено с учетом конкретных обстоятельств дела, в том числе в случае выезда в другое место жительства.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С 1 сентября 2025 г. вступает в силу перечень животных, запрещенных к содержанию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Распоряжение Правительства РФ от 08.05.2025 № 1163-р ОСНОВНОЙ ТЕКСТ: </w:t>
      </w:r>
      <w:proofErr w:type="gramStart"/>
      <w:r>
        <w:rPr>
          <w:rFonts w:ascii="Times New Roman" w:hAnsi="Times New Roman"/>
          <w:sz w:val="28"/>
        </w:rPr>
        <w:t>В</w:t>
      </w:r>
      <w:proofErr w:type="gramEnd"/>
      <w:r>
        <w:rPr>
          <w:rFonts w:ascii="Times New Roman" w:hAnsi="Times New Roman"/>
          <w:sz w:val="28"/>
        </w:rPr>
        <w:t xml:space="preserve"> перечень включены отдельные виды пресмыкающихся, земноводных, паукообразных, млекопитающих, птиц, хрящевых и костных рыб, коралловых полипов. С полным перечнем животных, запрещенных к содержанию, можно ознакомиться на официальном сайте Правительства РФ: </w:t>
      </w:r>
      <w:hyperlink r:id="rId4" w:history="1">
        <w:r>
          <w:rPr>
            <w:rStyle w:val="a3"/>
            <w:rFonts w:ascii="Times New Roman" w:eastAsiaTheme="minorHAnsi" w:hAnsi="Times New Roman"/>
            <w:sz w:val="28"/>
          </w:rPr>
          <w:t>http://government.ru</w:t>
        </w:r>
      </w:hyperlink>
      <w:r>
        <w:rPr>
          <w:rFonts w:ascii="Times New Roman" w:hAnsi="Times New Roman"/>
          <w:sz w:val="28"/>
        </w:rPr>
        <w:t xml:space="preserve">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Настоящее Распоряжение действует до 1 сентября 2031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Правительство обновило перечень категорий медицинских работников, которым установлен ежегодный дополнительный оплачиваемый отпуск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Постановление Правительства РФ от 08.05.2025 № 615 ОСНОВНОЙ ТЕКСТ: Постановлением утверждена продолжительность ежегодного дополнительного оплачиваемого отпуска за работу с вредными и (или) опасными условиями труда, предоставляемого медицинским работникам: участвующим в оказании психиатрической помощи, непосредственно участвующим в оказании противотуберкулезной помощи, осуществляющим диагностику и лечение ВИЧ-инфицированных, работа которых связана с материалами, содержащими вирус иммунодефицита человека.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Указанные положения распространены на соответствующие категории медицинских работников организаций, подведомственных Минобороны, МВД, ФСИН, ФСБ. Признано утратившим силу постановление Правительства Российской Федерации от 6 июня 2013 г. № 482.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Постановление вступает в силу с 1 сентября 2025 г., за исключением пункта 4, вступающего в силу со дня официального опубликования настоящего постановления.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center"/>
        <w:rPr>
          <w:rFonts w:ascii="Times New Roman" w:hAnsi="Times New Roman"/>
          <w:b/>
          <w:sz w:val="28"/>
        </w:rPr>
      </w:pPr>
      <w:r>
        <w:rPr>
          <w:rFonts w:ascii="Times New Roman" w:hAnsi="Times New Roman"/>
          <w:b/>
          <w:sz w:val="28"/>
        </w:rPr>
        <w:t xml:space="preserve">С 1 сентября 2025 года Актуализированы Правила оказания услуг по хранению транспортных средств на платных парковках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Постановлением Правительства РФ от 28.05.2025 № 737 утверждены Правила оказания услуг по хранению транспортных средств на платных парковках.  Правила регулируют отношения между потребителями и исполнителями при оказании услуг по хранению транспортных средств на платных парковках и направлены на упорядочение отношений между владельцами автотранспортных средств и операторами платных автостоянок, а также на защиту прав автовладельцев.</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Новые правила устанавливают четкий порядок заключения договора на хранение автомобилей, который призван зафиксировать права и обязанности сторон, а также гарантии сохранности имущества автовладельцев, цену на услуги. Определено, что договор на хранение транспортных средств подлежит заключению исключительно в письменной форме. При кратковременной разовой постановке транспортного средства на платную парковку (на срок не более одних суток) заключение договора может быть осуществлено путем выдачи потребителю соответствующего документа (сохранной расписки, квитанции или иного документа) с указанием государственного регистрационного номера транспортного средства, в отношении которого заключен договор. Отдельный раздел посвящен порядку оплаты услуги.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Так, дополнительно установлено правило, согласно которому заказчик обязан компенсировать исполнителю расходы не предусмотренные при подписании договора (так называемые чрезвычайные расходы). Компенсация предусмотрена только в двух случаях: если потребитель заранее согласился с дополнительными расходами или выразил свое одобрение после их возникновения. Настоящее постановление вступает в силу с 1 сентября 2025 года.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center"/>
        <w:rPr>
          <w:rFonts w:ascii="Times New Roman" w:hAnsi="Times New Roman"/>
          <w:b/>
          <w:sz w:val="28"/>
        </w:rPr>
      </w:pPr>
      <w:r>
        <w:rPr>
          <w:rFonts w:ascii="Times New Roman" w:hAnsi="Times New Roman"/>
          <w:b/>
          <w:sz w:val="28"/>
        </w:rPr>
        <w:t xml:space="preserve">Изменения административного законодательства в сфере закупок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Федеральным законом от 28.12.2024 № 500-ФЗ внесены изменения в Кодекс Российской Федерации </w:t>
      </w:r>
      <w:proofErr w:type="gramStart"/>
      <w:r>
        <w:rPr>
          <w:rFonts w:ascii="Times New Roman" w:hAnsi="Times New Roman"/>
          <w:sz w:val="28"/>
        </w:rPr>
        <w:t>об административных правонарушения</w:t>
      </w:r>
      <w:proofErr w:type="gramEnd"/>
      <w:r>
        <w:rPr>
          <w:rFonts w:ascii="Times New Roman" w:hAnsi="Times New Roman"/>
          <w:sz w:val="28"/>
        </w:rPr>
        <w:t xml:space="preserve"> (далее – КоАП РФ). Так, некоторые статьи КоАП РФ об административной ответственности в сфере </w:t>
      </w:r>
      <w:proofErr w:type="spellStart"/>
      <w:r>
        <w:rPr>
          <w:rFonts w:ascii="Times New Roman" w:hAnsi="Times New Roman"/>
          <w:sz w:val="28"/>
        </w:rPr>
        <w:t>госзакупок</w:t>
      </w:r>
      <w:proofErr w:type="spellEnd"/>
      <w:r>
        <w:rPr>
          <w:rFonts w:ascii="Times New Roman" w:hAnsi="Times New Roman"/>
          <w:sz w:val="28"/>
        </w:rPr>
        <w:t xml:space="preserve"> и </w:t>
      </w:r>
      <w:proofErr w:type="spellStart"/>
      <w:r>
        <w:rPr>
          <w:rFonts w:ascii="Times New Roman" w:hAnsi="Times New Roman"/>
          <w:sz w:val="28"/>
        </w:rPr>
        <w:t>гособоронзаказа</w:t>
      </w:r>
      <w:proofErr w:type="spellEnd"/>
      <w:r>
        <w:rPr>
          <w:rFonts w:ascii="Times New Roman" w:hAnsi="Times New Roman"/>
          <w:sz w:val="28"/>
        </w:rPr>
        <w:t xml:space="preserve"> (</w:t>
      </w:r>
      <w:proofErr w:type="spellStart"/>
      <w:r>
        <w:rPr>
          <w:rFonts w:ascii="Times New Roman" w:hAnsi="Times New Roman"/>
          <w:sz w:val="28"/>
        </w:rPr>
        <w:t>ст.ст</w:t>
      </w:r>
      <w:proofErr w:type="spellEnd"/>
      <w:r>
        <w:rPr>
          <w:rFonts w:ascii="Times New Roman" w:hAnsi="Times New Roman"/>
          <w:sz w:val="28"/>
        </w:rPr>
        <w:t xml:space="preserve">. 7.29 - 7.30, 7.31 - 7.32.1, 7.32.3 - 7.32.5, 14.6.1, 14.49, 14.55 - 14.55.2, 15.37, 15.40, 15.40.1, 19.7.2-1 КоАП РФ) признаются утратившими силу.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 1 марта 2025 года прекращаются находящиеся в производстве судов, органов, должностных лиц дела об административных правонарушениях, предусмотренных утратившими силу статьями КоАП РФ и не являющихся административными правонарушениями в соответствии с новыми статьями. С указанной даты не подлежат исполнению неисполненные постановления судей, органов, должностных лиц о назначении административных наказаний за совершение таких правонарушений.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При этом КоАП ПФ дополнен новыми статьями, предусматривающими административную ответственность, в частности, за: нарушение порядка планирования закупок; нарушение порядка заключения, исполнения, </w:t>
      </w:r>
      <w:r>
        <w:rPr>
          <w:rFonts w:ascii="Times New Roman" w:hAnsi="Times New Roman"/>
          <w:sz w:val="28"/>
        </w:rPr>
        <w:lastRenderedPageBreak/>
        <w:t xml:space="preserve">изменения и расторжения контракта; нарушение порядка формирования, размещения и выполнения государственного оборонного заказа; нарушение процедуры обязательных торгов, продажи государственного или муниципального имущества и пр.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Уточнены размеры ответственности должностных лиц. Установлены, в частности, административные штрафы: - за неверный выбор способа закупки - от 30 тыс. до 50 тыс. руб.; - за несоблюдение объема закупок у субъектов малого предпринимательства и социально ориентированных некоммерческих организаций - от 40 тыс. до 60 тыс. руб.; - за нарушение срока заключения контракта - от 5 тыс. до 30 тыс. руб. Закреплена возможность назначения административного наказания в виде предупреждения за отдельные правонарушения при выполнении государственного или оборонного заказа. Например, предупреждение может быть назначено должностному лицу за нарушение порядка формирования, утверждения и изменения планов-графиков закупок, а также за нарушение порядка расторжения контракта в случае одностороннего отказа от его исполнения. Изменения вступили в силу с 01.03.2025.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В каком случае не выдается исполнительный лист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Исполнительный лист является документом, на основании которого решение суда приводится в исполнение принудительно. В связи с чем исполнительные листы выдаются только на основании судебных актов, возлагающих на должника обязанность по передаче другим лицам денежных средств и иного имущества либо совершению в их пользу определенных действий или воздержанию от совершения определенных действий. Исполнительные листы на основании судебных актов, не содержащих вышеуказанных предписаний, </w:t>
      </w:r>
      <w:proofErr w:type="gramStart"/>
      <w:r>
        <w:rPr>
          <w:rFonts w:ascii="Times New Roman" w:hAnsi="Times New Roman"/>
          <w:sz w:val="28"/>
        </w:rPr>
        <w:t>например</w:t>
      </w:r>
      <w:proofErr w:type="gramEnd"/>
      <w:r>
        <w:rPr>
          <w:rFonts w:ascii="Times New Roman" w:hAnsi="Times New Roman"/>
          <w:sz w:val="28"/>
        </w:rPr>
        <w:t xml:space="preserve"> в случаях признания судом права на имущество, понуждения к заключению договора, определения порядка пользования имуществом, судом не выдаются Также не выдаются исполнительные листы для принудительного исполнения судебных актов об отмене обеспечительных мер, о признании незаконными действий (бездействия) судебного пристава.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Препятствием для выдачи исполнительного листа является введение в отношении должника процедур банкротства. Исполнительные листы не выдаются по отдельным категориям дел, по которым само решение суда непосредственно является исполнительным документом. Так, не выдается исполнительный лист по делам о привлечении к административной ответственности, а также по делам об оспаривании решения административного органа о привлечении к административной ответственности, рассмотренным арбитражными судами (ч. 4.2 ст. 206, ч. 5.2 ст. 211 АПК РФ).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При описках, арифметических ошибках, процессуальном правопреемстве, смене наименования и т.д. действует ранее выданный исполнительный лист с учетом соответствующего судебного акта </w:t>
      </w:r>
      <w:r>
        <w:rPr>
          <w:rFonts w:ascii="Times New Roman" w:hAnsi="Times New Roman"/>
          <w:sz w:val="28"/>
        </w:rPr>
        <w:lastRenderedPageBreak/>
        <w:t>арбитражного суда о внесенных изменениях. Не выдается новый исполнительный лист и при оставлении без изменения судом апелляционной инстанции обжалованного судебного акта. Исполнение соответствующего судебного акта осуществляется на основании ранее выданного исполнительного листа (</w:t>
      </w:r>
      <w:proofErr w:type="spellStart"/>
      <w:r>
        <w:rPr>
          <w:rFonts w:ascii="Times New Roman" w:hAnsi="Times New Roman"/>
          <w:sz w:val="28"/>
        </w:rPr>
        <w:t>абз</w:t>
      </w:r>
      <w:proofErr w:type="spellEnd"/>
      <w:r>
        <w:rPr>
          <w:rFonts w:ascii="Times New Roman" w:hAnsi="Times New Roman"/>
          <w:sz w:val="28"/>
        </w:rPr>
        <w:t xml:space="preserve">. 4 п. 30 Постановления Пленума Верховного Суда РФ от 17.11.2015 № 50).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center"/>
        <w:rPr>
          <w:rFonts w:ascii="Times New Roman" w:hAnsi="Times New Roman"/>
          <w:b/>
          <w:sz w:val="28"/>
        </w:rPr>
      </w:pPr>
      <w:r>
        <w:rPr>
          <w:rFonts w:ascii="Times New Roman" w:hAnsi="Times New Roman"/>
          <w:b/>
          <w:sz w:val="28"/>
        </w:rPr>
        <w:t>Истечение срока действия водительского удостоверения - основание для его замены</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Общий срок действия водительского удостоверения – 10 лет. Правительством Российской Федерации продлено на 3 года действие российских национальных водительских удостоверений, сроки по которым истекают (истекли) в период с 1 января 2022 года по 31 декабря 2025 года (Постановление Правительства Российской Федерации от 23.12.2023 № 2269). Продление срока действия не требует внесения дополнительных изменений в документы.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При этом водительские удостоверения, срок действия которых истек в 2022 году, необходимо заменить в 2025 году.           Лицо, срок действия водительского удостоверения которого истек, является лицом, не имеющим права управления транспортным средством. За управление автомобилем лицом, не имеющим на это право, предусмотрена административная ответственность в виде штрафа в размере от 5 тыс. руб. до 15 тыс. руб.</w:t>
      </w:r>
      <w:r>
        <w:rPr>
          <w:rFonts w:ascii="Times New Roman" w:hAnsi="Times New Roman"/>
          <w:sz w:val="28"/>
        </w:rPr>
        <w:t xml:space="preserve"> </w:t>
      </w:r>
      <w:proofErr w:type="gramStart"/>
      <w:r>
        <w:rPr>
          <w:rFonts w:ascii="Times New Roman" w:hAnsi="Times New Roman"/>
          <w:sz w:val="28"/>
        </w:rPr>
        <w:t>( ч.</w:t>
      </w:r>
      <w:proofErr w:type="gramEnd"/>
      <w:r>
        <w:rPr>
          <w:rFonts w:ascii="Times New Roman" w:hAnsi="Times New Roman"/>
          <w:sz w:val="28"/>
        </w:rPr>
        <w:t xml:space="preserve"> 1 ст. 12.7 КоАП РФ).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Для чего устанавливается санитарно-защитная зона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В целях обеспечения безопасности населения и в соответствии с требованиями Федерального закона от 30.03.1999 № 52-ФЗ «О санитарно-эпидемиологическом благополучии населения»,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(далее - санитарно-защитная зона (СЗЗ),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Решение об установлении (изменении, прекращении существования) санитарно-защитной зоны принимается в зависимости от санитарной классификации объекта Федеральной службой по надзору в сфере защиты прав потребителей и благополучия человека (</w:t>
      </w:r>
      <w:proofErr w:type="spellStart"/>
      <w:r>
        <w:rPr>
          <w:rFonts w:ascii="Times New Roman" w:hAnsi="Times New Roman"/>
          <w:sz w:val="28"/>
        </w:rPr>
        <w:t>Роспотребнадзором</w:t>
      </w:r>
      <w:proofErr w:type="spellEnd"/>
      <w:r>
        <w:rPr>
          <w:rFonts w:ascii="Times New Roman" w:hAnsi="Times New Roman"/>
          <w:sz w:val="28"/>
        </w:rPr>
        <w:t xml:space="preserve">). Сведения о </w:t>
      </w:r>
      <w:r>
        <w:rPr>
          <w:rFonts w:ascii="Times New Roman" w:hAnsi="Times New Roman"/>
          <w:sz w:val="28"/>
        </w:rPr>
        <w:lastRenderedPageBreak/>
        <w:t xml:space="preserve">создании санитарно-защитной зоны вносятся в Единый государственной реестр недвижимости, а сама санитарно-защитная зона считается установленной со дня внесения соответствующих сведений. Несоблюдение размеров санитарно-защитных зон объектов и производств, являющихся источниками воздействия на среду обитания и здоровье человека, несет за собой административную ответственность, предусмотренную ст. 6.3 Кодекса об административных правонарушениях Российской Федерации. Кроме того, 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Судебные расходы в трудовом споре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Судебные расходы состоят из государственной пошлины, а также издержек, связанных с рассмотрением дела. Согласно положениям статьи 393 Трудового кодекса Российской Федерации при обращении в суд с иском по требованиям, вытекающим из трудовых отношений, в том числе по поводу невыполнения либо ненадлежащего выполнения условий трудового договора, носящих гражданско-правовой характер, работники освобождаются от оплаты пошлин и судебных расходов.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Как следует из определения Верховного Суда Российской Федерации от 17.12.2018 по делу № 3-КГ18-15 гражданам предоставлена дополнительная гарантия освобождения от уплаты судебных расходов при обращении их в суд с иском о защите нарушенных или оспариваемых трудовых прав. В том числе если это требование связано с установлением факта трудовых отношений. Таким образом, даже если суд откажет работнику в его требованиях, вытекающих из трудовых отношений, гражданин освобождается от оплаты государственной пошли и судебных издержек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b/>
          <w:sz w:val="28"/>
        </w:rPr>
      </w:pPr>
      <w:r>
        <w:rPr>
          <w:rFonts w:ascii="Times New Roman" w:hAnsi="Times New Roman"/>
          <w:b/>
          <w:sz w:val="28"/>
        </w:rPr>
        <w:t xml:space="preserve">С 24.05.2025 начал действовать реестр должников по алиментам </w:t>
      </w:r>
    </w:p>
    <w:p w:rsidR="00F70574" w:rsidRDefault="00F70574" w:rsidP="00F70574">
      <w:pPr>
        <w:spacing w:after="0" w:line="240" w:lineRule="auto"/>
        <w:ind w:firstLine="709"/>
        <w:jc w:val="both"/>
        <w:rPr>
          <w:rFonts w:ascii="Times New Roman" w:hAnsi="Times New Roman"/>
          <w:b/>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Соответствующие изменения внесены в Федеральный закон от 02.10.2007 № 229-ФЗ «Об исполнительном производстве». Указанными изменениями установлено, что сведения о должниках по уплате алиментов (назначенных по решению суда либо по нотариальному удостоверенному соглашению), которые привлечены к административной и (или) уголовной ответственности за неуплату средств на содержание несовершеннолетних детей или нетрудоспособных детей, достигших восемнадцатилетнего возраста, либо нетрудоспособных родителей, а также объявленных судебным приставом в розыск, должны вноситься в реестр должников по алиментным обязательствам. Должников по алиментным обязательствам будут информировать о включении сведений о них в реестр должников, а также об исключении из указанного реестра. Данный реестр будет формироваться </w:t>
      </w:r>
      <w:r>
        <w:rPr>
          <w:rFonts w:ascii="Times New Roman" w:hAnsi="Times New Roman"/>
          <w:sz w:val="28"/>
        </w:rPr>
        <w:lastRenderedPageBreak/>
        <w:t xml:space="preserve">Федеральной службой судебных приставов Российской Федерации и публиковаться в открытом доступе на официальном сайте государственного органа.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Памятка для иностранных граждан, не имеющих документов для законного нахождения на территории Российской Федерации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Указом Президента Российской Федерации от 30.12.2024 № 1126 иностранные граждане, включенные в реестр контролируемых лиц, обязаны выехать из Российской Федерации вплоть по 30.04.2025 или обратиться для урегулирования своего правового положения в территориальный орган МВД России или в филиал ФГУП «Паспортно-визовый сервис» МВД России по месту своего нахождения. В отношении иностранных граждан, подпадающих под действие указа, не будут применяться меры, связанные с высылкой, помещением в специальные учреждения и ограничением последующего въезда в Российскую Федерацию.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Документы, дающие право находиться в нашей стране, будут выданы после прохождения обязательных процедур, отсутствии определенных условий и предоставлении следующих документов: - биометрической идентификации; - медицинского освидетельствования на наличие опасных заболеваний, употребление наркотических веществ и психотропных веществ; - проверки на наличие задолженностей по уплате пошлин, налогов, сборов, штрафов и других обязательных платежей - представили предусмотренные статьей 15.1 Федерального закона от 25.07.2002 № 115-ФЗ "О правовом положении иностранных граждан в Российской Федерации" документ, подтверждающий владение русским языком, знание истории России и основ законодательства Российской Федерации на соответствующем уровне (за исключением случаев, предусмотренных названной статьей, указами Президента Российской Федерации, и случая подачи заявления на основании пункта 4 настоящего Указа); - отсутствие оснований отказа в выдаче или аннулирования патента, разрешения на работу, разрешения на временное проживание, разрешения на временное проживание в целях получения образования, вида на жительство, предусмотренные Федеральным законом от 25.06.2002 № 115-ФЗ «О правовом положении иностранных граждан в Российской Федерации», либо основания отказа в выдаче или аннулирования визы, предусмотренные Федеральным законом от 15.08.1996 N 114-ФЗ "О порядке выезда из Российской Федерации и въезда в Российскую Федерацию". Иностранные граждане, утратившие законные основания для пребывания в России и не обратившиеся в органы внутренних дел Российской Федерации для урегулирования своего правового положения, подлежат высылке в установленном порядке с закрытием последующего въезда. Решить вопрос об урегулировании правового положения после 01.05.2025, будет невозможно. С этой даты в отношении иностранных граждан, утративших законные основания для пребывания в нашей стране, до их выдворения за пределы Российской Федерации будут применяться все предусмотренные законом </w:t>
      </w:r>
      <w:r>
        <w:rPr>
          <w:rFonts w:ascii="Times New Roman" w:hAnsi="Times New Roman"/>
          <w:sz w:val="28"/>
        </w:rPr>
        <w:lastRenderedPageBreak/>
        <w:t>меры по ограничению отдельных прав, в том числе на въезд в Россию в будущем.</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Периодичность прохождения технического осмотра транспортного средства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п. 1 ст. 15 Федерального закона от 01.07.2011 № 170-ФЗ «О техническом осмотре транспортных средств и о внесении изменений в отдельные законодательные акты Российской Федерации» периодичность проведения технического осмотра, если иное не установлено федеральными законами, транспортные средства подлежат техническому осмотру со следующей периодичностью: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1) каждые двадцать четыре месяца в отношении следующих транспортных средств, с года изготовления которых прошло от четырех до десяти лет, включая год их изготовления, указанный в паспорте транспортного средства и (или) свидетельстве о регистрации транспортного средства (далее - год изготовления):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а) легковые автомобили;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б) грузовые автомобили, разрешенная максимальная масса которых составляет до трех тонн пятисот килограммов;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2) каждые двенадцать месяцев в отношении транспортных средств, указанных в п. 1 настоящей части, с года изготовления которых прошло более десяти лет;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3) каждые двенадцать месяцев в отношении следующих транспортных средств, с года изготовления которых прошло не более пяти лет: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а) легковые такси;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б) автобусы;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4) каждые шесть месяцев в отношении транспортных средств, указанных в пункте 3 настоящей части, с года изготовления которых прошло более пяти лет;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5) каждые шесть месяцев в отношении специализированных транспортных средств и прицепов к ним, предназначенных и оборудованных для перевозок опасных грузов;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6) каждые двенадцать месяцев в отношении следующих транспортных средств (за исключением транспортных средств, указанных в пунктах 3 и 5 настоящей части):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а) грузовые автомобили, разрешенная максимальная масса которых составляет более трех тонн пятисот килограммов;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б) транспортные средства, оборудованные в соответствии с законодательством Российской Федерации устройствами для подачи специальных световых и звуковых сигналов;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в) транспортные средства, предназначенные для обучения управлению транспортными средствами.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Ответственность за пропаганду «</w:t>
      </w:r>
      <w:proofErr w:type="spellStart"/>
      <w:r>
        <w:rPr>
          <w:rFonts w:ascii="Times New Roman" w:hAnsi="Times New Roman"/>
          <w:b/>
          <w:sz w:val="28"/>
        </w:rPr>
        <w:t>чайлдфри</w:t>
      </w:r>
      <w:proofErr w:type="spellEnd"/>
      <w:r>
        <w:rPr>
          <w:rFonts w:ascii="Times New Roman" w:hAnsi="Times New Roman"/>
          <w:b/>
          <w:sz w:val="28"/>
        </w:rPr>
        <w:t xml:space="preserve">»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Федеральным законом от 23.11.2024 № 401-ФЗ внесены изменения в статью 6.21 Кодекса Российской Федерации об административных правонарушениях. Распространение информации или совершение публичных действий, направленных на формирование привлекательности отказа от деторождения либо искаженного представления о социальной равноценности рождения детей и отказа от деторождения, либо навязывание информации об отказе от деторождения, вызывающей к этому интерес, если эти действия не содержат признаков уголовно наказуемого деяния, будут наказываться административным штрафом. Санкцией данной статьи предусмотрен штраф для граждан от 50 до 100 тысяч рублей, для должностных лиц - от 100 до 200 тысяч рублей, для юридических лиц - от 800 тысяч до 1 млн рублей. В отношении юридических лиц вместо наложения административного штрафа возможно административное приостановление деятельности на срок до 90 суток. За действия, совершенные среди несовершеннолетних, с применением СМИ или сети «Интернет» предусмотрены увеличенные размеры административных штрафов. Согласно </w:t>
      </w:r>
      <w:proofErr w:type="gramStart"/>
      <w:r>
        <w:rPr>
          <w:rFonts w:ascii="Times New Roman" w:hAnsi="Times New Roman"/>
          <w:sz w:val="28"/>
        </w:rPr>
        <w:t>примечанию</w:t>
      </w:r>
      <w:proofErr w:type="gramEnd"/>
      <w:r>
        <w:rPr>
          <w:rFonts w:ascii="Times New Roman" w:hAnsi="Times New Roman"/>
          <w:sz w:val="28"/>
        </w:rPr>
        <w:t xml:space="preserve"> к статье 6.21 КоАП РФ административным правонарушением не являются распространение информации о монашестве и монашеском образе жизни, соблюдении обета безбрачия (целибата) и связанном с ними отказе от деторождения и (или) совершение публичных действий, направленных на формирование привлекательности монашества и монашеского образа жизни, соблюдения обета безбрачия (целибата).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Утвержден порядок хранения, обработки и предоставления информации, содержащейся в государственной информационной системе жилищно-коммунального хозяйства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Приказом Минстроя России от 28.04.2025 № 258/</w:t>
      </w:r>
      <w:proofErr w:type="spellStart"/>
      <w:r>
        <w:rPr>
          <w:rFonts w:ascii="Times New Roman" w:hAnsi="Times New Roman"/>
          <w:sz w:val="28"/>
        </w:rPr>
        <w:t>пр</w:t>
      </w:r>
      <w:proofErr w:type="spellEnd"/>
      <w:r>
        <w:rPr>
          <w:rFonts w:ascii="Times New Roman" w:hAnsi="Times New Roman"/>
          <w:sz w:val="28"/>
        </w:rPr>
        <w:t xml:space="preserve"> утвержден Порядок хранения, обработки и предоставления информации, содержащейся в государственной информационной системе жилищно-коммунального хозяйства (далее – система). Данным нормативным правовым актом предусмотрено, что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в соответствии с законодательством Российской Федерации в области персональных данных. Защита информации, содержащейся в системе, обеспечивается посредством применения организационных и технических мер защиты информации, а также осуществления контроля за эксплуатацией системы. Персональные данные физических лиц хранятся в части системы, предназначенной для ограниченного доступа. При предоставлении содержащейся в системе информации, обязательное направление которой предусмотрено законодательством Российской Федерации, допускается передача содержащихся в системе персональных данных физических лиц в установленном законодательством Российской Федерации порядке. Кроме </w:t>
      </w:r>
      <w:r>
        <w:rPr>
          <w:rFonts w:ascii="Times New Roman" w:hAnsi="Times New Roman"/>
          <w:sz w:val="28"/>
        </w:rPr>
        <w:lastRenderedPageBreak/>
        <w:t>того, собственникам и пользователям помещений в многоквартирных домах и жилых домов в их личных кабинетах в системе предоставляется информация о начислениях, оплатах и показаниях приборов учета за последние 36 расчетных периодов. Предоставление указанной информации таким лицам за иные расчетные периоды осуществляется на основании структурированного запроса, сформированного в их личном кабинете и направляемого оператору системы в течение срока хранения информации в системе. Ответ на запрос предоставляется в течение одного месяца со дня его поступления или в течение четырнадцати календарных дней со дня поступления запроса в случае, если запрос направлен в связи с проведением в отношении собственников или пользователей помещений в многоквартирных домах и жилых домов контрольных (надзорных) мероприятий в соответствии с законодательством Российской Федерации. Также установлено, что предоставление информации, содержащейся в системе, осуществляется в электронной форме в автоматизированном режиме в соответствии с правами доступа к системе. Хранение информации в системе осуществляется оператором системы не менее 10 лет. При хранении и предоставлении информации, содержащейся в системе, оператор обязан обеспечивать целостность такой информации. Приказ Минстроя России от 28.04.2025 № 258/</w:t>
      </w:r>
      <w:proofErr w:type="spellStart"/>
      <w:r>
        <w:rPr>
          <w:rFonts w:ascii="Times New Roman" w:hAnsi="Times New Roman"/>
          <w:sz w:val="28"/>
        </w:rPr>
        <w:t>пр</w:t>
      </w:r>
      <w:proofErr w:type="spellEnd"/>
      <w:r>
        <w:rPr>
          <w:rFonts w:ascii="Times New Roman" w:hAnsi="Times New Roman"/>
          <w:sz w:val="28"/>
        </w:rPr>
        <w:t xml:space="preserve"> вступил в силу с 13.06.2025.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Внесены изменения в законодательство об объектах культурного наследия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Постановлением Правительства Российской Федерации от 16.05.2025 № 667 «О внесении изменений в некоторые акты Правительства Российской Федерации» актуализирован порядок предоставления в аренду неиспользуемых объектов культурного наследия, находящихся в неудовлетворительном состоянии и относящихся к федеральной собственности.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Признано утратившим силу постановление Правительства Российской Федерации от 29.06.2015 № 646 «Об утверждении критериев отнесения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к объектам культурного наследия, находящимся в неудовлетворительном состоянии». Реализован Федеральный закон от 30.11.2024 № 444-ФЗ «О внесении изменений в отдельные законодательные акты Российской Федерации». Постановление вступило в силу 24.05.2025.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center"/>
        <w:rPr>
          <w:rFonts w:ascii="Times New Roman" w:hAnsi="Times New Roman"/>
          <w:b/>
          <w:sz w:val="28"/>
        </w:rPr>
      </w:pPr>
      <w:r>
        <w:rPr>
          <w:rFonts w:ascii="Times New Roman" w:hAnsi="Times New Roman"/>
          <w:b/>
          <w:sz w:val="28"/>
        </w:rPr>
        <w:t xml:space="preserve">Внесены изменения в порядок осуществления индивидуального или группового маркирования и учета животных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Внесены изменения в постановление Правительства Российской Федерации от 05.04.2023 № 550 «Об утверждении Правил осуществления учета животных и перечня видов животных, подлежащих индивидуальному </w:t>
      </w:r>
      <w:r>
        <w:rPr>
          <w:rFonts w:ascii="Times New Roman" w:hAnsi="Times New Roman"/>
          <w:sz w:val="28"/>
        </w:rPr>
        <w:lastRenderedPageBreak/>
        <w:t xml:space="preserve">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Так, нормативным правовым актом способ маркирования и учета овец и коз решено заменить на индивидуальный, а срок их учета – на 1 декабря 2025 г. Отменена необходимость индивидуального маркирования и учета племенных пушных зверей.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Уточнено, что рыбы и иные объекты </w:t>
      </w:r>
      <w:proofErr w:type="spellStart"/>
      <w:r>
        <w:rPr>
          <w:rFonts w:ascii="Times New Roman" w:hAnsi="Times New Roman"/>
          <w:sz w:val="28"/>
        </w:rPr>
        <w:t>аквакультуры</w:t>
      </w:r>
      <w:proofErr w:type="spellEnd"/>
      <w:r>
        <w:rPr>
          <w:rFonts w:ascii="Times New Roman" w:hAnsi="Times New Roman"/>
          <w:sz w:val="28"/>
        </w:rPr>
        <w:t xml:space="preserve"> животного происхождения подлежат индивидуальному маркированию и учету, если они относятся к осетровым видам рыб и являются племенными или включены в ремонтно-маточные стада, или в других случаях по желанию владельца. Постановление вступает в силу с 1 сентября 2025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Принят закон об электронном документообороте и дистанционном участии в производстве по делам об административных правонарушениях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 01.07.2025 вступает в силу Федеральный закон от 07.04.2025 № 59-ФЗ «О внесении изменений в Кодекс Российской Федерации об административных правонарушениях», регламентирующий электронный документооборот и дистанционное участие в производстве по делам об административных правонарушениях. В частности, согласно закону 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 поданы участником производства по делу об административном правонарушении в суд посредством Единого портала </w:t>
      </w:r>
      <w:proofErr w:type="spellStart"/>
      <w:r>
        <w:rPr>
          <w:rFonts w:ascii="Times New Roman" w:hAnsi="Times New Roman"/>
          <w:sz w:val="28"/>
        </w:rPr>
        <w:t>госуслуг</w:t>
      </w:r>
      <w:proofErr w:type="spellEnd"/>
      <w:r>
        <w:rPr>
          <w:rFonts w:ascii="Times New Roman" w:hAnsi="Times New Roman"/>
          <w:sz w:val="28"/>
        </w:rPr>
        <w:t xml:space="preserve">,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производства по делам об административных правонарушениях и использованием единой системы межведомственного электронного взаимодействия. Разъяснен порядок подписания указанных документов. Законом предусмотрено участие в рассмотрении дела об административном правонарушении путем использования системы веб-конференции. Кроме того, определен порядок извещения участников производства по делу об административном правонарушении, а также изготовления, вручения и направления процессуальных документов.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С 1 января 2026 года вводятся в действие изменения в государственный стандарт, регламентирующие применение новых дорожных знаков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Изменения № 1 к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В частности, согласно изменениям: • предусмотрен вертикальный вариант знака </w:t>
      </w:r>
      <w:r>
        <w:rPr>
          <w:rFonts w:ascii="Times New Roman" w:hAnsi="Times New Roman"/>
          <w:sz w:val="28"/>
        </w:rPr>
        <w:lastRenderedPageBreak/>
        <w:t xml:space="preserve">«Стоп-линия», который будут применять при невозможности обеспечения требований, предусмотренных для привычного горизонтального знака, а также в целях обеспечения беспрепятственного передвижения пешеходов; • вводится ряд новых дорожных знаков, например, знаки 5.15.9 «Начало полос» для обозначения начала полос движения при одновременном увеличении числа полос в попутном направлении справа и слева, 6.2.1 «Рекомендуемая скорость при проезде искусственной неровности», информационная табличка 8.15.1 «Глухие пешеходы» и др.; • изменен внешний вид некоторых знаков, например, информационных табличек 8.1.3, 8.1.4 «Расстояние до объекта»; • на информационных знаках 6.9.1, 6.9.2, 6.10.1-6.12 </w:t>
      </w:r>
      <w:proofErr w:type="spellStart"/>
      <w:r>
        <w:rPr>
          <w:rFonts w:ascii="Times New Roman" w:hAnsi="Times New Roman"/>
          <w:sz w:val="28"/>
        </w:rPr>
        <w:t>зачехление</w:t>
      </w:r>
      <w:proofErr w:type="spellEnd"/>
      <w:r>
        <w:rPr>
          <w:rFonts w:ascii="Times New Roman" w:hAnsi="Times New Roman"/>
          <w:sz w:val="28"/>
        </w:rPr>
        <w:t xml:space="preserve"> надписей или их частей возможно способом перечеркивания двумя диагональными пересекающимися в центре зачехляемой информации красными полосами. Также скорректированы размеры парковочного места. Например, с 2,5 х 6,5 м до 2,25 х 6,5 м уменьшен размер парковочного места при последовательном размещении автомобилей вдоль края проезжей части для легковых автомобилей.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Продажу фальсифицированных и просроченных лекарств будут блокировать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Вступило в силу Постановление Правительства Российской Федерации от 03.03.2025 № 257 «Об утверждении Правил применения положений части 2 статьи 57 Федерального закона «Об обращении лекарственных средств».   С 01.06.2025 заработает механизм, исключающий возможность торговли препаратами с истекшим сроком годности и лекарствами, оборот которых приостановлен или прекращен.   Перед продажей сотрудники аптек будут проверять в системе коды идентификации и глобальные номера препаратов. Если система выявит нарушения, оператор уведомит контролирующие органы в течение 24 часов. Проверка кода маркировки проводится онлайн перед продажей, а при отсутствии ответа - в офлайн-режиме. Кроме того, </w:t>
      </w:r>
      <w:proofErr w:type="spellStart"/>
      <w:r>
        <w:rPr>
          <w:rFonts w:ascii="Times New Roman" w:hAnsi="Times New Roman"/>
          <w:sz w:val="28"/>
        </w:rPr>
        <w:t>фарморганизации</w:t>
      </w:r>
      <w:proofErr w:type="spellEnd"/>
      <w:r>
        <w:rPr>
          <w:rFonts w:ascii="Times New Roman" w:hAnsi="Times New Roman"/>
          <w:sz w:val="28"/>
        </w:rPr>
        <w:t xml:space="preserve"> должны формировать и обновлять базу данных кодов идентификации и глобальных идентификационных номеров. Продажа лекарств будет запрещена, если: в системе отсутствуют данные о маркировке или вводе препарата в гражданский оборот; внесение данных о препарате в систему мониторинга заблокировано; применение препарата приостановлено Минздравом, оборот препарата прекращен; истек срок годности; нарушены требования законодательства.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b/>
          <w:sz w:val="28"/>
        </w:rPr>
        <w:t xml:space="preserve">С 1 сентября 2025 года вступает в силу новый порядок предоставления академического отпуска обучающимся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Приказом </w:t>
      </w:r>
      <w:proofErr w:type="spellStart"/>
      <w:r>
        <w:rPr>
          <w:rFonts w:ascii="Times New Roman" w:hAnsi="Times New Roman"/>
          <w:sz w:val="28"/>
        </w:rPr>
        <w:t>Минобрнауки</w:t>
      </w:r>
      <w:proofErr w:type="spellEnd"/>
      <w:r>
        <w:rPr>
          <w:rFonts w:ascii="Times New Roman" w:hAnsi="Times New Roman"/>
          <w:sz w:val="28"/>
        </w:rPr>
        <w:t xml:space="preserve"> России от 04.04.2025 № 303 утверждён Порядок и основания предоставления академического отпуска обучающимся, который вступает в законную силу с 1 сентября 2025 года.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lastRenderedPageBreak/>
        <w:t xml:space="preserve">В соответствии с нововведениями академический отпуск предоставляется обучающимся по образовательным программам среднего профессионального или высшего образования в связи с временной невозможностью освоения ими образовательной программы в образовательной организации, в случае призыва на военную службу или заключения контракта о прохождении военной службы, по медицинским показаниям, а также в иных исключительных случаях, в том числе в связи со стихийными бедствиями, по семейным обстоятельствам.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Продолжительность такого отпуска единовременно не может превышать 12 календарных месяцев. Исключение составляет академический отпуск в связи с прохождением военной службы или по медицинским показаниям, его срок не может превышать 2 года. Обучающиеся по образовательным программам среднего профессионального или высшего образования не ограничены по количеству предоставляемых академических отпусков.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jc w:val="center"/>
        <w:rPr>
          <w:rFonts w:ascii="Times New Roman" w:hAnsi="Times New Roman"/>
          <w:b/>
          <w:sz w:val="28"/>
        </w:rPr>
      </w:pPr>
      <w:r>
        <w:rPr>
          <w:rFonts w:ascii="Times New Roman" w:hAnsi="Times New Roman"/>
          <w:b/>
          <w:sz w:val="28"/>
        </w:rPr>
        <w:t xml:space="preserve">Установлена продолжительность рабочего времени педагогов в школах и колледжах.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С 1 сентября 2025 года нововведения, установленные приказом Министерства просвещения Российской Федерации от 04.04.2025 № 269 «О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о Порядке определения учебной нагрузки указанных педагогических работников, оговариваемой в трудовом договоре, основаниях ее изменения и случаях установления верхнего предела указанной учебной нагрузки» коснуться определения продолжительности рабочего времени или нормы часов педагогической работы за ставку заработной платы педагогическим работникам в зависимости от их должности и (или) специальности. </w:t>
      </w:r>
    </w:p>
    <w:p w:rsidR="00F70574" w:rsidRDefault="00F70574" w:rsidP="00F70574">
      <w:pPr>
        <w:spacing w:after="0" w:line="240" w:lineRule="auto"/>
        <w:ind w:firstLine="709"/>
        <w:jc w:val="both"/>
        <w:rPr>
          <w:rFonts w:ascii="Times New Roman" w:hAnsi="Times New Roman"/>
          <w:sz w:val="28"/>
        </w:rPr>
      </w:pPr>
      <w:r>
        <w:rPr>
          <w:rFonts w:ascii="Times New Roman" w:hAnsi="Times New Roman"/>
          <w:sz w:val="28"/>
        </w:rPr>
        <w:t xml:space="preserve">Так, в частности, продолжительность рабочего времени 36 часов в неделю устанавливается: - старшим воспитателям организаций,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 а также домов ребенка, осуществляющих образовательную деятельность в качестве дополнительного вида деятельности; - педагогам-психологам; - социальным педагогам; - педагогам-организаторам; - мастерам производственного обучения; - методистам и старшим методистам; - советникам директора по воспитанию и взаимодействию с детскими общественными объединениями и др. Вместе с этим определены категории работников, продолжительность рабочего </w:t>
      </w:r>
      <w:r>
        <w:rPr>
          <w:rFonts w:ascii="Times New Roman" w:hAnsi="Times New Roman"/>
          <w:sz w:val="28"/>
        </w:rPr>
        <w:lastRenderedPageBreak/>
        <w:t xml:space="preserve">времени которых будет составлять 18, 20, 24, 25, 30 часов. Одновременно документом утвержден порядок определения учебной нагрузки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СПО и соответствующим дополнительным профессиональным программам, основным программам профессионального обучения, оговариваемой в трудовом договоре, основания ее изменения и случаи установления верхнего предела указанной учебной нагрузки. </w:t>
      </w: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F70574" w:rsidRPr="00B61A27" w:rsidTr="00D176C8">
        <w:trPr>
          <w:cantSplit/>
          <w:trHeight w:val="4809"/>
        </w:trPr>
        <w:tc>
          <w:tcPr>
            <w:tcW w:w="9072" w:type="dxa"/>
            <w:hideMark/>
          </w:tcPr>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lastRenderedPageBreak/>
              <w:t xml:space="preserve">СОВЕТ ДЕПУТАТОВ </w:t>
            </w:r>
          </w:p>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t>муниципального образования</w:t>
            </w:r>
          </w:p>
          <w:p w:rsidR="00F70574" w:rsidRPr="00FB4A6B" w:rsidRDefault="00F70574" w:rsidP="00D176C8">
            <w:pPr>
              <w:pStyle w:val="ConsPlusTitle"/>
              <w:jc w:val="center"/>
              <w:rPr>
                <w:rFonts w:ascii="Times New Roman" w:hAnsi="Times New Roman" w:cs="Times New Roman"/>
                <w:b w:val="0"/>
                <w:sz w:val="26"/>
                <w:szCs w:val="26"/>
              </w:rPr>
            </w:pPr>
            <w:proofErr w:type="spellStart"/>
            <w:r w:rsidRPr="00FB4A6B">
              <w:rPr>
                <w:rFonts w:ascii="Times New Roman" w:hAnsi="Times New Roman" w:cs="Times New Roman"/>
                <w:b w:val="0"/>
                <w:sz w:val="26"/>
                <w:szCs w:val="26"/>
              </w:rPr>
              <w:t>Беляевский</w:t>
            </w:r>
            <w:proofErr w:type="spellEnd"/>
            <w:r w:rsidRPr="00FB4A6B">
              <w:rPr>
                <w:rFonts w:ascii="Times New Roman" w:hAnsi="Times New Roman" w:cs="Times New Roman"/>
                <w:b w:val="0"/>
                <w:sz w:val="26"/>
                <w:szCs w:val="26"/>
              </w:rPr>
              <w:t xml:space="preserve"> сельсовет</w:t>
            </w:r>
          </w:p>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t xml:space="preserve">Беляевского района </w:t>
            </w:r>
          </w:p>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t>Оренбургской области</w:t>
            </w:r>
          </w:p>
          <w:p w:rsidR="00F70574" w:rsidRPr="00FB4A6B" w:rsidRDefault="00F70574" w:rsidP="00D176C8">
            <w:pPr>
              <w:pStyle w:val="ConsPlusTitle"/>
              <w:jc w:val="center"/>
              <w:rPr>
                <w:rFonts w:ascii="Times New Roman" w:hAnsi="Times New Roman" w:cs="Times New Roman"/>
                <w:b w:val="0"/>
                <w:sz w:val="26"/>
                <w:szCs w:val="26"/>
              </w:rPr>
            </w:pPr>
          </w:p>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t>четвертый созыв</w:t>
            </w:r>
          </w:p>
          <w:p w:rsidR="00F70574" w:rsidRPr="00FB4A6B" w:rsidRDefault="00F70574" w:rsidP="00D176C8">
            <w:pPr>
              <w:pStyle w:val="ConsPlusTitle"/>
              <w:jc w:val="center"/>
              <w:rPr>
                <w:rFonts w:ascii="Times New Roman" w:hAnsi="Times New Roman" w:cs="Times New Roman"/>
                <w:b w:val="0"/>
                <w:sz w:val="26"/>
                <w:szCs w:val="26"/>
              </w:rPr>
            </w:pPr>
          </w:p>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t>РЕШЕНИЕ</w:t>
            </w:r>
          </w:p>
          <w:p w:rsidR="00F70574" w:rsidRPr="00FB4A6B" w:rsidRDefault="00F70574" w:rsidP="00D176C8">
            <w:pPr>
              <w:pStyle w:val="ConsPlusTitle"/>
              <w:jc w:val="center"/>
              <w:rPr>
                <w:rFonts w:ascii="Times New Roman" w:hAnsi="Times New Roman" w:cs="Times New Roman"/>
                <w:b w:val="0"/>
                <w:sz w:val="26"/>
                <w:szCs w:val="26"/>
              </w:rPr>
            </w:pPr>
          </w:p>
          <w:p w:rsidR="00F70574" w:rsidRPr="00FB4A6B" w:rsidRDefault="00F70574" w:rsidP="00D176C8">
            <w:pPr>
              <w:pStyle w:val="ConsPlusTitle"/>
              <w:jc w:val="center"/>
              <w:rPr>
                <w:rFonts w:ascii="Times New Roman" w:hAnsi="Times New Roman" w:cs="Times New Roman"/>
                <w:b w:val="0"/>
                <w:sz w:val="26"/>
                <w:szCs w:val="26"/>
              </w:rPr>
            </w:pPr>
            <w:r w:rsidRPr="00FB4A6B">
              <w:rPr>
                <w:rFonts w:ascii="Times New Roman" w:hAnsi="Times New Roman" w:cs="Times New Roman"/>
                <w:b w:val="0"/>
                <w:sz w:val="26"/>
                <w:szCs w:val="26"/>
              </w:rPr>
              <w:t>от 18.06.2025 N 219</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34"/>
            </w:tblGrid>
            <w:tr w:rsidR="00F70574" w:rsidRPr="00FB4A6B" w:rsidTr="00D176C8">
              <w:trPr>
                <w:trHeight w:val="1332"/>
              </w:trPr>
              <w:tc>
                <w:tcPr>
                  <w:tcW w:w="7534" w:type="dxa"/>
                  <w:tcBorders>
                    <w:top w:val="nil"/>
                    <w:left w:val="nil"/>
                    <w:bottom w:val="nil"/>
                    <w:right w:val="nil"/>
                  </w:tcBorders>
                </w:tcPr>
                <w:p w:rsidR="00F70574" w:rsidRPr="00FB4A6B" w:rsidRDefault="00F70574" w:rsidP="00D176C8">
                  <w:pPr>
                    <w:autoSpaceDE w:val="0"/>
                    <w:autoSpaceDN w:val="0"/>
                    <w:adjustRightInd w:val="0"/>
                    <w:jc w:val="both"/>
                    <w:rPr>
                      <w:rFonts w:eastAsia="Calibri"/>
                      <w:sz w:val="26"/>
                      <w:szCs w:val="26"/>
                    </w:rPr>
                  </w:pPr>
                </w:p>
                <w:p w:rsidR="00F70574" w:rsidRPr="00FB4A6B" w:rsidRDefault="00F70574" w:rsidP="00D176C8">
                  <w:pPr>
                    <w:jc w:val="center"/>
                    <w:rPr>
                      <w:rFonts w:eastAsia="Calibri"/>
                      <w:sz w:val="26"/>
                      <w:szCs w:val="26"/>
                    </w:rPr>
                  </w:pPr>
                  <w:r w:rsidRPr="00FB4A6B">
                    <w:rPr>
                      <w:rFonts w:eastAsia="Calibri"/>
                      <w:sz w:val="26"/>
                      <w:szCs w:val="26"/>
                    </w:rPr>
                    <w:t xml:space="preserve">О назначении выборов депутатов Совета депутатов муниципального образования </w:t>
                  </w:r>
                  <w:proofErr w:type="spellStart"/>
                  <w:r w:rsidRPr="00FB4A6B">
                    <w:rPr>
                      <w:rFonts w:eastAsia="Calibri"/>
                      <w:sz w:val="26"/>
                      <w:szCs w:val="26"/>
                    </w:rPr>
                    <w:t>Беляевский</w:t>
                  </w:r>
                  <w:proofErr w:type="spellEnd"/>
                  <w:r w:rsidRPr="00FB4A6B">
                    <w:rPr>
                      <w:rFonts w:eastAsia="Calibri"/>
                      <w:sz w:val="26"/>
                      <w:szCs w:val="26"/>
                    </w:rPr>
                    <w:t xml:space="preserve"> сельсовет Беляевского района Оренбургской области пятого созыва</w:t>
                  </w:r>
                </w:p>
              </w:tc>
            </w:tr>
          </w:tbl>
          <w:p w:rsidR="00F70574" w:rsidRPr="00B61A27" w:rsidRDefault="00F70574" w:rsidP="00D176C8">
            <w:pPr>
              <w:rPr>
                <w:rFonts w:ascii="Calibri" w:eastAsia="Calibri" w:hAnsi="Calibri"/>
                <w:sz w:val="28"/>
                <w:szCs w:val="28"/>
              </w:rPr>
            </w:pPr>
          </w:p>
          <w:p w:rsidR="00F70574" w:rsidRPr="00B61A27" w:rsidRDefault="00F70574" w:rsidP="00D176C8">
            <w:pPr>
              <w:spacing w:line="276" w:lineRule="auto"/>
              <w:rPr>
                <w:rFonts w:ascii="Calibri" w:eastAsia="Calibri" w:hAnsi="Calibri"/>
                <w:sz w:val="28"/>
                <w:szCs w:val="28"/>
              </w:rPr>
            </w:pPr>
          </w:p>
        </w:tc>
      </w:tr>
    </w:tbl>
    <w:p w:rsidR="00F70574" w:rsidRPr="00FB4A6B" w:rsidRDefault="00F70574" w:rsidP="00F70574">
      <w:pPr>
        <w:pStyle w:val="2"/>
        <w:ind w:right="0" w:firstLine="567"/>
        <w:jc w:val="both"/>
        <w:rPr>
          <w:b w:val="0"/>
          <w:sz w:val="26"/>
          <w:szCs w:val="26"/>
        </w:rPr>
      </w:pPr>
      <w:r w:rsidRPr="00FB4A6B">
        <w:rPr>
          <w:b w:val="0"/>
          <w:sz w:val="26"/>
          <w:szCs w:val="26"/>
        </w:rPr>
        <w:t xml:space="preserve">В соответствии со ст. 12, 130 Конституции Российской Федерации, ст. 23, 35 Федерального закона от 06.10.2003 № 131-ФЗ «Об общих принципах организации местного самоуправления в Российской Федерации», ст. 10 Федерального закона от 12.06.2002 № 67-ФЗ «Об основных гарантиях избирательных прав и права на участие в референдуме граждан Российской Федерации», Законом Оренбургской области от 9 июня 2022 г. № 321/100-VII-ОЗ  «О выборах депутатов представительных органов муниципальных образований в Оренбургской области» и руководствуясь Уставом муниципального образования </w:t>
      </w:r>
      <w:proofErr w:type="spellStart"/>
      <w:r w:rsidRPr="00FB4A6B">
        <w:rPr>
          <w:b w:val="0"/>
          <w:sz w:val="26"/>
          <w:szCs w:val="26"/>
        </w:rPr>
        <w:t>Беляевский</w:t>
      </w:r>
      <w:proofErr w:type="spellEnd"/>
      <w:r w:rsidRPr="00FB4A6B">
        <w:rPr>
          <w:b w:val="0"/>
          <w:sz w:val="26"/>
          <w:szCs w:val="26"/>
        </w:rPr>
        <w:t xml:space="preserve"> сельсовет, Совет депутатов муниципального образования </w:t>
      </w:r>
      <w:proofErr w:type="spellStart"/>
      <w:r w:rsidRPr="00FB4A6B">
        <w:rPr>
          <w:b w:val="0"/>
          <w:sz w:val="26"/>
          <w:szCs w:val="26"/>
        </w:rPr>
        <w:t>Беляевский</w:t>
      </w:r>
      <w:proofErr w:type="spellEnd"/>
      <w:r w:rsidRPr="00FB4A6B">
        <w:rPr>
          <w:b w:val="0"/>
          <w:sz w:val="26"/>
          <w:szCs w:val="26"/>
        </w:rPr>
        <w:t xml:space="preserve"> сельсовет решил:</w:t>
      </w:r>
    </w:p>
    <w:p w:rsidR="00F70574" w:rsidRPr="00FB4A6B" w:rsidRDefault="00F70574" w:rsidP="00F70574">
      <w:pPr>
        <w:pStyle w:val="2"/>
        <w:ind w:right="-2" w:firstLine="567"/>
        <w:jc w:val="both"/>
        <w:rPr>
          <w:b w:val="0"/>
          <w:sz w:val="26"/>
          <w:szCs w:val="26"/>
        </w:rPr>
      </w:pPr>
      <w:r w:rsidRPr="00FB4A6B">
        <w:rPr>
          <w:b w:val="0"/>
          <w:sz w:val="26"/>
          <w:szCs w:val="26"/>
        </w:rPr>
        <w:t xml:space="preserve">1. Назначить выборы депутатов Совета депутатов муниципального образования </w:t>
      </w:r>
      <w:proofErr w:type="spellStart"/>
      <w:r w:rsidRPr="00FB4A6B">
        <w:rPr>
          <w:b w:val="0"/>
          <w:sz w:val="26"/>
          <w:szCs w:val="26"/>
        </w:rPr>
        <w:t>Беляевский</w:t>
      </w:r>
      <w:proofErr w:type="spellEnd"/>
      <w:r w:rsidRPr="00FB4A6B">
        <w:rPr>
          <w:b w:val="0"/>
          <w:sz w:val="26"/>
          <w:szCs w:val="26"/>
        </w:rPr>
        <w:t xml:space="preserve"> сельсовет Беляевского района Оренбургской области пятого созыва на единый день голосования 14 сентября 2025 года.</w:t>
      </w:r>
    </w:p>
    <w:p w:rsidR="00F70574" w:rsidRPr="00FB4A6B" w:rsidRDefault="00F70574" w:rsidP="00F70574">
      <w:pPr>
        <w:pStyle w:val="2"/>
        <w:ind w:right="-2" w:firstLine="567"/>
        <w:jc w:val="both"/>
        <w:rPr>
          <w:b w:val="0"/>
          <w:sz w:val="26"/>
          <w:szCs w:val="26"/>
        </w:rPr>
      </w:pPr>
      <w:r w:rsidRPr="00FB4A6B">
        <w:rPr>
          <w:b w:val="0"/>
          <w:sz w:val="26"/>
          <w:szCs w:val="26"/>
        </w:rPr>
        <w:t xml:space="preserve">2. Расходы на проведение выборов депутатов Совета депутатов муниципального образования </w:t>
      </w:r>
      <w:proofErr w:type="spellStart"/>
      <w:r w:rsidRPr="00FB4A6B">
        <w:rPr>
          <w:b w:val="0"/>
          <w:sz w:val="26"/>
          <w:szCs w:val="26"/>
        </w:rPr>
        <w:t>Беляевский</w:t>
      </w:r>
      <w:proofErr w:type="spellEnd"/>
      <w:r w:rsidRPr="00FB4A6B">
        <w:rPr>
          <w:b w:val="0"/>
          <w:sz w:val="26"/>
          <w:szCs w:val="26"/>
        </w:rPr>
        <w:t xml:space="preserve"> сельсовет Беляевского района Оренбургской области пятого созыва произвести за счет средств местного бюджета.</w:t>
      </w:r>
    </w:p>
    <w:p w:rsidR="00F70574" w:rsidRPr="00FB4A6B" w:rsidRDefault="00F70574" w:rsidP="00F70574">
      <w:pPr>
        <w:pStyle w:val="2"/>
        <w:ind w:right="-2" w:firstLine="567"/>
        <w:jc w:val="both"/>
        <w:rPr>
          <w:b w:val="0"/>
          <w:sz w:val="26"/>
          <w:szCs w:val="26"/>
        </w:rPr>
      </w:pPr>
      <w:r w:rsidRPr="00FB4A6B">
        <w:rPr>
          <w:b w:val="0"/>
          <w:sz w:val="26"/>
          <w:szCs w:val="26"/>
        </w:rPr>
        <w:t>3. Настоящее решение опубликовать в районной газете «Вестник труда» не позднее чем через пять дней со дня его принятия.</w:t>
      </w:r>
    </w:p>
    <w:p w:rsidR="00F70574" w:rsidRPr="00FB4A6B" w:rsidRDefault="00F70574" w:rsidP="00F70574">
      <w:pPr>
        <w:pStyle w:val="2"/>
        <w:ind w:right="-2" w:firstLine="567"/>
        <w:jc w:val="both"/>
        <w:rPr>
          <w:b w:val="0"/>
          <w:sz w:val="26"/>
          <w:szCs w:val="26"/>
        </w:rPr>
      </w:pPr>
      <w:r w:rsidRPr="00FB4A6B">
        <w:rPr>
          <w:b w:val="0"/>
          <w:sz w:val="26"/>
          <w:szCs w:val="26"/>
        </w:rPr>
        <w:t>4. Направить настоящее решение в территориальную избирательную комиссию Беляевского района.</w:t>
      </w:r>
    </w:p>
    <w:p w:rsidR="00F70574" w:rsidRPr="00F70574" w:rsidRDefault="00F70574" w:rsidP="00F70574">
      <w:pPr>
        <w:pStyle w:val="2"/>
        <w:ind w:right="-2" w:firstLine="567"/>
        <w:jc w:val="both"/>
        <w:rPr>
          <w:b w:val="0"/>
          <w:sz w:val="26"/>
          <w:szCs w:val="26"/>
        </w:rPr>
      </w:pPr>
      <w:r w:rsidRPr="00F70574">
        <w:rPr>
          <w:b w:val="0"/>
          <w:sz w:val="26"/>
          <w:szCs w:val="26"/>
        </w:rPr>
        <w:t>5. Контроль за исполнением данного решения возложить на мандатную комиссию.</w:t>
      </w:r>
    </w:p>
    <w:p w:rsidR="00F70574" w:rsidRPr="00F70574" w:rsidRDefault="00F70574" w:rsidP="00F70574">
      <w:pPr>
        <w:spacing w:after="0"/>
        <w:ind w:firstLine="567"/>
        <w:jc w:val="both"/>
        <w:rPr>
          <w:rFonts w:ascii="Times New Roman" w:hAnsi="Times New Roman" w:cs="Times New Roman"/>
          <w:sz w:val="26"/>
          <w:szCs w:val="26"/>
        </w:rPr>
      </w:pPr>
      <w:r w:rsidRPr="00F70574">
        <w:rPr>
          <w:rFonts w:ascii="Times New Roman" w:hAnsi="Times New Roman" w:cs="Times New Roman"/>
          <w:sz w:val="26"/>
          <w:szCs w:val="26"/>
        </w:rPr>
        <w:t>6. Настоящее решение вступает в силу после его официального опубликования в районной газете «Вестник труда».</w:t>
      </w:r>
    </w:p>
    <w:p w:rsidR="00F70574" w:rsidRPr="00F70574" w:rsidRDefault="00F70574" w:rsidP="00F70574">
      <w:pPr>
        <w:spacing w:after="0"/>
        <w:ind w:firstLine="567"/>
        <w:jc w:val="both"/>
        <w:rPr>
          <w:rFonts w:ascii="Times New Roman" w:hAnsi="Times New Roman" w:cs="Times New Roman"/>
          <w:sz w:val="26"/>
          <w:szCs w:val="26"/>
        </w:rPr>
      </w:pPr>
    </w:p>
    <w:tbl>
      <w:tblPr>
        <w:tblW w:w="0" w:type="auto"/>
        <w:tblLook w:val="04A0" w:firstRow="1" w:lastRow="0" w:firstColumn="1" w:lastColumn="0" w:noHBand="0" w:noVBand="1"/>
      </w:tblPr>
      <w:tblGrid>
        <w:gridCol w:w="4812"/>
        <w:gridCol w:w="4543"/>
      </w:tblGrid>
      <w:tr w:rsidR="00F70574" w:rsidRPr="00F70574" w:rsidTr="00D176C8">
        <w:tc>
          <w:tcPr>
            <w:tcW w:w="5070" w:type="dxa"/>
          </w:tcPr>
          <w:p w:rsidR="00F70574" w:rsidRPr="00F70574" w:rsidRDefault="00F70574" w:rsidP="00F70574">
            <w:pPr>
              <w:spacing w:after="0" w:line="276" w:lineRule="auto"/>
              <w:jc w:val="both"/>
              <w:rPr>
                <w:rFonts w:ascii="Times New Roman" w:eastAsiaTheme="minorEastAsia" w:hAnsi="Times New Roman" w:cs="Times New Roman"/>
                <w:sz w:val="26"/>
                <w:szCs w:val="26"/>
              </w:rPr>
            </w:pPr>
            <w:r w:rsidRPr="00F70574">
              <w:rPr>
                <w:rFonts w:ascii="Times New Roman" w:eastAsiaTheme="minorEastAsia" w:hAnsi="Times New Roman" w:cs="Times New Roman"/>
                <w:sz w:val="26"/>
                <w:szCs w:val="26"/>
              </w:rPr>
              <w:t>Глава сельсовета</w:t>
            </w:r>
          </w:p>
          <w:p w:rsidR="00F70574" w:rsidRPr="00F70574" w:rsidRDefault="00F70574" w:rsidP="00F70574">
            <w:pPr>
              <w:spacing w:after="0" w:line="276" w:lineRule="auto"/>
              <w:jc w:val="both"/>
              <w:rPr>
                <w:rFonts w:ascii="Times New Roman" w:eastAsiaTheme="minorEastAsia" w:hAnsi="Times New Roman" w:cs="Times New Roman"/>
                <w:sz w:val="26"/>
                <w:szCs w:val="26"/>
              </w:rPr>
            </w:pPr>
            <w:r w:rsidRPr="00F70574">
              <w:rPr>
                <w:rFonts w:ascii="Times New Roman" w:eastAsiaTheme="minorEastAsia" w:hAnsi="Times New Roman" w:cs="Times New Roman"/>
                <w:sz w:val="26"/>
                <w:szCs w:val="26"/>
              </w:rPr>
              <w:t>__________________</w:t>
            </w:r>
            <w:proofErr w:type="spellStart"/>
            <w:r w:rsidRPr="00F70574">
              <w:rPr>
                <w:rFonts w:ascii="Times New Roman" w:eastAsiaTheme="minorEastAsia" w:hAnsi="Times New Roman" w:cs="Times New Roman"/>
                <w:sz w:val="26"/>
                <w:szCs w:val="26"/>
              </w:rPr>
              <w:t>М.Х.Елешев</w:t>
            </w:r>
            <w:proofErr w:type="spellEnd"/>
          </w:p>
        </w:tc>
        <w:tc>
          <w:tcPr>
            <w:tcW w:w="4677" w:type="dxa"/>
          </w:tcPr>
          <w:p w:rsidR="00F70574" w:rsidRPr="00F70574" w:rsidRDefault="00F70574" w:rsidP="00F70574">
            <w:pPr>
              <w:spacing w:after="0" w:line="276" w:lineRule="auto"/>
              <w:jc w:val="both"/>
              <w:rPr>
                <w:rFonts w:ascii="Times New Roman" w:eastAsiaTheme="minorEastAsia" w:hAnsi="Times New Roman" w:cs="Times New Roman"/>
                <w:sz w:val="26"/>
                <w:szCs w:val="26"/>
              </w:rPr>
            </w:pPr>
            <w:r w:rsidRPr="00F70574">
              <w:rPr>
                <w:rFonts w:ascii="Times New Roman" w:eastAsiaTheme="minorEastAsia" w:hAnsi="Times New Roman" w:cs="Times New Roman"/>
                <w:sz w:val="26"/>
                <w:szCs w:val="26"/>
              </w:rPr>
              <w:t>Председатель Совета депутатов</w:t>
            </w:r>
          </w:p>
          <w:p w:rsidR="00F70574" w:rsidRPr="00F70574" w:rsidRDefault="00F70574" w:rsidP="00F70574">
            <w:pPr>
              <w:spacing w:after="0" w:line="276" w:lineRule="auto"/>
              <w:jc w:val="both"/>
              <w:rPr>
                <w:rFonts w:ascii="Times New Roman" w:eastAsiaTheme="minorEastAsia" w:hAnsi="Times New Roman" w:cs="Times New Roman"/>
                <w:sz w:val="26"/>
                <w:szCs w:val="26"/>
              </w:rPr>
            </w:pPr>
            <w:r w:rsidRPr="00F70574">
              <w:rPr>
                <w:rFonts w:ascii="Times New Roman" w:eastAsiaTheme="minorEastAsia" w:hAnsi="Times New Roman" w:cs="Times New Roman"/>
                <w:sz w:val="26"/>
                <w:szCs w:val="26"/>
              </w:rPr>
              <w:t>______________</w:t>
            </w:r>
            <w:proofErr w:type="spellStart"/>
            <w:r w:rsidRPr="00F70574">
              <w:rPr>
                <w:rFonts w:ascii="Times New Roman" w:eastAsiaTheme="minorEastAsia" w:hAnsi="Times New Roman" w:cs="Times New Roman"/>
                <w:sz w:val="26"/>
                <w:szCs w:val="26"/>
              </w:rPr>
              <w:t>С.В.Варфаламеева</w:t>
            </w:r>
            <w:proofErr w:type="spellEnd"/>
          </w:p>
        </w:tc>
      </w:tr>
    </w:tbl>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p w:rsidR="00F70574" w:rsidRDefault="00F70574" w:rsidP="00F70574">
      <w:pPr>
        <w:spacing w:after="0" w:line="240" w:lineRule="auto"/>
        <w:ind w:firstLine="709"/>
        <w:jc w:val="both"/>
        <w:rPr>
          <w:rFonts w:ascii="Times New Roman" w:hAnsi="Times New Roman"/>
          <w:sz w:val="28"/>
        </w:rPr>
      </w:pPr>
    </w:p>
    <w:tbl>
      <w:tblPr>
        <w:tblW w:w="9087" w:type="dxa"/>
        <w:tblInd w:w="210" w:type="dxa"/>
        <w:tblLayout w:type="fixed"/>
        <w:tblCellMar>
          <w:left w:w="70" w:type="dxa"/>
          <w:right w:w="70" w:type="dxa"/>
        </w:tblCellMar>
        <w:tblLook w:val="04A0" w:firstRow="1" w:lastRow="0" w:firstColumn="1" w:lastColumn="0" w:noHBand="0" w:noVBand="1"/>
      </w:tblPr>
      <w:tblGrid>
        <w:gridCol w:w="9087"/>
      </w:tblGrid>
      <w:tr w:rsidR="00F70574" w:rsidRPr="00F70574" w:rsidTr="00F70574">
        <w:trPr>
          <w:cantSplit/>
          <w:trHeight w:val="1188"/>
        </w:trPr>
        <w:tc>
          <w:tcPr>
            <w:tcW w:w="9087" w:type="dxa"/>
            <w:tcBorders>
              <w:bottom w:val="double" w:sz="12" w:space="0" w:color="000000"/>
            </w:tcBorders>
          </w:tcPr>
          <w:p w:rsidR="00F70574" w:rsidRPr="00F70574" w:rsidRDefault="00F70574" w:rsidP="00D176C8">
            <w:pPr>
              <w:widowControl w:val="0"/>
              <w:spacing w:after="0"/>
              <w:jc w:val="center"/>
              <w:rPr>
                <w:rFonts w:ascii="Times New Roman" w:eastAsia="Times New Roman" w:hAnsi="Times New Roman" w:cs="Times New Roman"/>
                <w:b/>
                <w:sz w:val="24"/>
                <w:szCs w:val="24"/>
              </w:rPr>
            </w:pPr>
            <w:r w:rsidRPr="00F70574">
              <w:rPr>
                <w:rFonts w:ascii="Times New Roman" w:eastAsia="Times New Roman" w:hAnsi="Times New Roman" w:cs="Times New Roman"/>
                <w:b/>
                <w:sz w:val="24"/>
                <w:szCs w:val="24"/>
              </w:rPr>
              <w:lastRenderedPageBreak/>
              <w:t>АДМИНИСТРАЦИЯ</w:t>
            </w:r>
          </w:p>
          <w:p w:rsidR="00F70574" w:rsidRPr="00F70574" w:rsidRDefault="00F70574" w:rsidP="00D176C8">
            <w:pPr>
              <w:widowControl w:val="0"/>
              <w:spacing w:after="0"/>
              <w:jc w:val="center"/>
              <w:rPr>
                <w:rFonts w:ascii="Times New Roman" w:eastAsia="Times New Roman" w:hAnsi="Times New Roman" w:cs="Times New Roman"/>
                <w:b/>
                <w:sz w:val="24"/>
                <w:szCs w:val="24"/>
              </w:rPr>
            </w:pPr>
            <w:r w:rsidRPr="00F70574">
              <w:rPr>
                <w:rFonts w:ascii="Times New Roman" w:eastAsia="Times New Roman" w:hAnsi="Times New Roman" w:cs="Times New Roman"/>
                <w:b/>
                <w:sz w:val="24"/>
                <w:szCs w:val="24"/>
              </w:rPr>
              <w:t>МУНИЦИПАЛЬНОГО ОБРАЗОВАНИЯ</w:t>
            </w:r>
          </w:p>
          <w:p w:rsidR="00F70574" w:rsidRPr="00F70574" w:rsidRDefault="00F70574" w:rsidP="00D176C8">
            <w:pPr>
              <w:widowControl w:val="0"/>
              <w:spacing w:after="0"/>
              <w:jc w:val="center"/>
              <w:rPr>
                <w:rFonts w:ascii="Times New Roman" w:eastAsia="Times New Roman" w:hAnsi="Times New Roman" w:cs="Times New Roman"/>
                <w:b/>
                <w:sz w:val="24"/>
                <w:szCs w:val="24"/>
              </w:rPr>
            </w:pPr>
            <w:r w:rsidRPr="00F70574">
              <w:rPr>
                <w:rFonts w:ascii="Times New Roman" w:eastAsia="Times New Roman" w:hAnsi="Times New Roman" w:cs="Times New Roman"/>
                <w:b/>
                <w:sz w:val="24"/>
                <w:szCs w:val="24"/>
              </w:rPr>
              <w:t>БЕЛЯЕВСКИЙ СЕЛЬСОВЕТ</w:t>
            </w:r>
          </w:p>
          <w:p w:rsidR="00F70574" w:rsidRPr="00F70574" w:rsidRDefault="00F70574" w:rsidP="00D176C8">
            <w:pPr>
              <w:widowControl w:val="0"/>
              <w:spacing w:after="0"/>
              <w:jc w:val="center"/>
              <w:rPr>
                <w:rFonts w:ascii="Times New Roman" w:eastAsia="Times New Roman" w:hAnsi="Times New Roman" w:cs="Times New Roman"/>
                <w:b/>
                <w:sz w:val="24"/>
                <w:szCs w:val="24"/>
              </w:rPr>
            </w:pPr>
            <w:r w:rsidRPr="00F70574">
              <w:rPr>
                <w:rFonts w:ascii="Times New Roman" w:eastAsia="Times New Roman" w:hAnsi="Times New Roman" w:cs="Times New Roman"/>
                <w:b/>
                <w:sz w:val="24"/>
                <w:szCs w:val="24"/>
              </w:rPr>
              <w:t>БЕЛЯЕВСКОГО РАЙОНА ОРЕНБУРГСКОЙ ОБЛАСТИ</w:t>
            </w:r>
          </w:p>
        </w:tc>
      </w:tr>
      <w:tr w:rsidR="00F70574" w:rsidRPr="00F70574" w:rsidTr="00F70574">
        <w:trPr>
          <w:cantSplit/>
          <w:trHeight w:val="997"/>
        </w:trPr>
        <w:tc>
          <w:tcPr>
            <w:tcW w:w="9087" w:type="dxa"/>
            <w:vAlign w:val="bottom"/>
          </w:tcPr>
          <w:p w:rsidR="00F70574" w:rsidRPr="00F70574" w:rsidRDefault="00F70574" w:rsidP="00D176C8">
            <w:pPr>
              <w:widowControl w:val="0"/>
              <w:spacing w:after="0"/>
              <w:rPr>
                <w:rFonts w:ascii="Times New Roman" w:eastAsia="Times New Roman" w:hAnsi="Times New Roman" w:cs="Times New Roman"/>
                <w:b/>
                <w:sz w:val="24"/>
                <w:szCs w:val="24"/>
              </w:rPr>
            </w:pPr>
          </w:p>
          <w:p w:rsidR="00F70574" w:rsidRPr="00F70574" w:rsidRDefault="00F70574" w:rsidP="00D176C8">
            <w:pPr>
              <w:widowControl w:val="0"/>
              <w:spacing w:after="0"/>
              <w:jc w:val="center"/>
              <w:rPr>
                <w:rFonts w:ascii="Times New Roman" w:eastAsia="Times New Roman" w:hAnsi="Times New Roman" w:cs="Times New Roman"/>
                <w:b/>
                <w:sz w:val="24"/>
                <w:szCs w:val="24"/>
              </w:rPr>
            </w:pPr>
            <w:r w:rsidRPr="00F70574">
              <w:rPr>
                <w:rFonts w:ascii="Times New Roman" w:eastAsia="Times New Roman" w:hAnsi="Times New Roman" w:cs="Times New Roman"/>
                <w:b/>
                <w:sz w:val="24"/>
                <w:szCs w:val="24"/>
              </w:rPr>
              <w:t>ПОСТАНОВЛЕНИЕ</w:t>
            </w:r>
          </w:p>
          <w:p w:rsidR="00F70574" w:rsidRPr="00F70574" w:rsidRDefault="00F70574" w:rsidP="00D176C8">
            <w:pPr>
              <w:widowControl w:val="0"/>
              <w:spacing w:after="0"/>
              <w:jc w:val="center"/>
              <w:rPr>
                <w:rFonts w:ascii="Times New Roman" w:eastAsia="Times New Roman" w:hAnsi="Times New Roman" w:cs="Times New Roman"/>
                <w:sz w:val="24"/>
                <w:szCs w:val="24"/>
                <w:lang w:val="en-US"/>
              </w:rPr>
            </w:pPr>
            <w:r w:rsidRPr="00F70574">
              <w:rPr>
                <w:rFonts w:ascii="Times New Roman" w:hAnsi="Times New Roman" w:cs="Times New Roman"/>
                <w:noProof/>
                <w:sz w:val="24"/>
                <w:szCs w:val="24"/>
                <w:lang w:eastAsia="ru-RU"/>
              </w:rPr>
              <w:drawing>
                <wp:anchor distT="0" distB="0" distL="0" distR="0" simplePos="0" relativeHeight="251661312" behindDoc="0" locked="0" layoutInCell="0" allowOverlap="1" wp14:anchorId="3A42AD3D" wp14:editId="2AFCC7A4">
                  <wp:simplePos x="0" y="0"/>
                  <wp:positionH relativeFrom="page">
                    <wp:posOffset>1830070</wp:posOffset>
                  </wp:positionH>
                  <wp:positionV relativeFrom="page">
                    <wp:posOffset>538480</wp:posOffset>
                  </wp:positionV>
                  <wp:extent cx="2924175" cy="360045"/>
                  <wp:effectExtent l="0" t="0" r="0" b="0"/>
                  <wp:wrapNone/>
                  <wp:docPr id="1"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anchor>
              </w:drawing>
            </w:r>
          </w:p>
          <w:p w:rsidR="00F70574" w:rsidRPr="00F70574" w:rsidRDefault="00F70574" w:rsidP="00D176C8">
            <w:pPr>
              <w:widowControl w:val="0"/>
              <w:spacing w:after="0"/>
              <w:jc w:val="center"/>
              <w:rPr>
                <w:rFonts w:ascii="Times New Roman" w:eastAsia="Times New Roman" w:hAnsi="Times New Roman" w:cs="Times New Roman"/>
                <w:sz w:val="24"/>
                <w:szCs w:val="24"/>
                <w:lang w:val="en-US"/>
              </w:rPr>
            </w:pPr>
            <w:r w:rsidRPr="00F70574">
              <w:rPr>
                <w:rFonts w:ascii="Times New Roman" w:hAnsi="Times New Roman" w:cs="Times New Roman"/>
                <w:sz w:val="24"/>
                <w:szCs w:val="24"/>
                <w:lang w:val="en-US" w:eastAsia="ru-RU"/>
              </w:rPr>
              <w:t>[</w:t>
            </w:r>
            <w:r w:rsidRPr="00F70574">
              <w:rPr>
                <w:rFonts w:ascii="Times New Roman" w:hAnsi="Times New Roman" w:cs="Times New Roman"/>
                <w:sz w:val="24"/>
                <w:szCs w:val="24"/>
                <w:lang w:eastAsia="ru-RU"/>
              </w:rPr>
              <w:t xml:space="preserve">МЕСТО ДЛЯ </w:t>
            </w:r>
            <w:proofErr w:type="gramStart"/>
            <w:r w:rsidRPr="00F70574">
              <w:rPr>
                <w:rFonts w:ascii="Times New Roman" w:hAnsi="Times New Roman" w:cs="Times New Roman"/>
                <w:sz w:val="24"/>
                <w:szCs w:val="24"/>
                <w:lang w:eastAsia="ru-RU"/>
              </w:rPr>
              <w:t xml:space="preserve">ШТАМПА </w:t>
            </w:r>
            <w:r w:rsidRPr="00F70574">
              <w:rPr>
                <w:rFonts w:ascii="Times New Roman" w:hAnsi="Times New Roman" w:cs="Times New Roman"/>
                <w:sz w:val="24"/>
                <w:szCs w:val="24"/>
                <w:lang w:val="en-US" w:eastAsia="ru-RU"/>
              </w:rPr>
              <w:t>]</w:t>
            </w:r>
            <w:proofErr w:type="gramEnd"/>
          </w:p>
          <w:p w:rsidR="00F70574" w:rsidRPr="00F70574" w:rsidRDefault="00F70574" w:rsidP="00D176C8">
            <w:pPr>
              <w:widowControl w:val="0"/>
              <w:spacing w:after="0"/>
              <w:jc w:val="center"/>
              <w:rPr>
                <w:rFonts w:ascii="Times New Roman" w:eastAsia="Times New Roman" w:hAnsi="Times New Roman" w:cs="Times New Roman"/>
                <w:sz w:val="24"/>
                <w:szCs w:val="24"/>
              </w:rPr>
            </w:pPr>
          </w:p>
        </w:tc>
      </w:tr>
    </w:tbl>
    <w:p w:rsidR="00F70574" w:rsidRPr="00F70574" w:rsidRDefault="00F70574" w:rsidP="00F70574">
      <w:pPr>
        <w:spacing w:after="0" w:line="240" w:lineRule="auto"/>
        <w:rPr>
          <w:rFonts w:ascii="Times New Roman" w:eastAsia="Times New Roman" w:hAnsi="Times New Roman" w:cs="Times New Roman"/>
          <w:sz w:val="24"/>
          <w:szCs w:val="24"/>
          <w:lang w:eastAsia="ru-RU"/>
        </w:rPr>
      </w:pPr>
    </w:p>
    <w:p w:rsidR="00F70574" w:rsidRPr="00F70574" w:rsidRDefault="00F70574" w:rsidP="00F70574">
      <w:pPr>
        <w:widowControl w:val="0"/>
        <w:jc w:val="center"/>
        <w:rPr>
          <w:rFonts w:ascii="Times New Roman" w:eastAsia="DejaVu Sans" w:hAnsi="Times New Roman" w:cs="Times New Roman"/>
          <w:color w:val="000000"/>
          <w:kern w:val="2"/>
          <w:sz w:val="24"/>
          <w:szCs w:val="24"/>
        </w:rPr>
      </w:pPr>
      <w:r w:rsidRPr="00F70574">
        <w:rPr>
          <w:rFonts w:ascii="Times New Roman" w:hAnsi="Times New Roman" w:cs="Times New Roman"/>
          <w:sz w:val="24"/>
          <w:szCs w:val="24"/>
        </w:rPr>
        <w:t>О признании жилых помещений пригодными для проживания после проведения капитального ремонта</w:t>
      </w:r>
    </w:p>
    <w:p w:rsidR="00F70574" w:rsidRPr="00F70574" w:rsidRDefault="00F70574" w:rsidP="00F70574">
      <w:pPr>
        <w:widowControl w:val="0"/>
        <w:spacing w:after="0" w:line="240" w:lineRule="auto"/>
        <w:ind w:firstLine="709"/>
        <w:jc w:val="both"/>
        <w:rPr>
          <w:rFonts w:ascii="Times New Roman" w:hAnsi="Times New Roman" w:cs="Times New Roman"/>
          <w:sz w:val="24"/>
          <w:szCs w:val="24"/>
        </w:rPr>
      </w:pPr>
      <w:r w:rsidRPr="00F70574">
        <w:rPr>
          <w:rFonts w:ascii="Times New Roman" w:hAnsi="Times New Roman" w:cs="Times New Roman"/>
          <w:sz w:val="24"/>
          <w:szCs w:val="24"/>
        </w:rPr>
        <w:t xml:space="preserve">В соответствии с Жилищным кодексом Российской Федерации, Федеральным законом от 06.10.2003  №131,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сельсовет Беляевского района Оренбургской области:</w:t>
      </w:r>
    </w:p>
    <w:p w:rsidR="00F70574" w:rsidRPr="00F70574" w:rsidRDefault="00F70574" w:rsidP="00F70574">
      <w:pPr>
        <w:spacing w:after="0" w:line="240" w:lineRule="auto"/>
        <w:ind w:firstLine="708"/>
        <w:jc w:val="both"/>
        <w:rPr>
          <w:rFonts w:ascii="Times New Roman" w:hAnsi="Times New Roman" w:cs="Times New Roman"/>
          <w:sz w:val="24"/>
          <w:szCs w:val="24"/>
        </w:rPr>
      </w:pPr>
      <w:r w:rsidRPr="00F70574">
        <w:rPr>
          <w:rFonts w:ascii="Times New Roman" w:hAnsi="Times New Roman" w:cs="Times New Roman"/>
          <w:sz w:val="24"/>
          <w:szCs w:val="24"/>
        </w:rPr>
        <w:t xml:space="preserve">1. Признать жилые помещения, поврежденные в результате чрезвычайной ситуации, сложившейся на территории Оренбургской области в связи с прохождением весеннего паводка в 2024 году соответствующими требованиям, предъявляемым к жилому помещению, и пригодными для проживания после проведения капитального ремонта согласно </w:t>
      </w:r>
      <w:proofErr w:type="gramStart"/>
      <w:r w:rsidRPr="00F70574">
        <w:rPr>
          <w:rFonts w:ascii="Times New Roman" w:hAnsi="Times New Roman" w:cs="Times New Roman"/>
          <w:sz w:val="24"/>
          <w:szCs w:val="24"/>
        </w:rPr>
        <w:t>приложению</w:t>
      </w:r>
      <w:proofErr w:type="gramEnd"/>
      <w:r w:rsidRPr="00F70574">
        <w:rPr>
          <w:rFonts w:ascii="Times New Roman" w:hAnsi="Times New Roman" w:cs="Times New Roman"/>
          <w:sz w:val="24"/>
          <w:szCs w:val="24"/>
        </w:rPr>
        <w:t xml:space="preserve"> к настоящему постановлению</w:t>
      </w:r>
    </w:p>
    <w:p w:rsidR="00F70574" w:rsidRPr="00F70574" w:rsidRDefault="00F70574" w:rsidP="00F70574">
      <w:pPr>
        <w:spacing w:after="0" w:line="240" w:lineRule="auto"/>
        <w:ind w:firstLine="708"/>
        <w:jc w:val="both"/>
        <w:rPr>
          <w:rFonts w:ascii="Times New Roman" w:hAnsi="Times New Roman" w:cs="Times New Roman"/>
          <w:sz w:val="24"/>
          <w:szCs w:val="24"/>
        </w:rPr>
      </w:pPr>
      <w:r w:rsidRPr="00F70574">
        <w:rPr>
          <w:rFonts w:ascii="Times New Roman" w:hAnsi="Times New Roman" w:cs="Times New Roman"/>
          <w:sz w:val="24"/>
          <w:szCs w:val="24"/>
        </w:rPr>
        <w:t xml:space="preserve">2. Контроль за исполнением настоящего постановления оставляю за собой. </w:t>
      </w:r>
    </w:p>
    <w:p w:rsidR="00F70574" w:rsidRPr="00F70574" w:rsidRDefault="00F70574" w:rsidP="00F70574">
      <w:pPr>
        <w:spacing w:after="0" w:line="240" w:lineRule="auto"/>
        <w:ind w:firstLine="708"/>
        <w:jc w:val="both"/>
        <w:rPr>
          <w:rFonts w:ascii="Times New Roman" w:hAnsi="Times New Roman" w:cs="Times New Roman"/>
          <w:sz w:val="24"/>
          <w:szCs w:val="24"/>
        </w:rPr>
      </w:pPr>
      <w:r w:rsidRPr="00F70574">
        <w:rPr>
          <w:rFonts w:ascii="Times New Roman" w:hAnsi="Times New Roman" w:cs="Times New Roman"/>
          <w:sz w:val="24"/>
          <w:szCs w:val="24"/>
        </w:rPr>
        <w:t xml:space="preserve">3. Настоящее постановление подлежит обязательному обнародованию и размещению на официальном сайте администрации муниципального образования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сельсовет Беляевского района Оренбургской области в информационно-телекоммуникационной сети «Интернет».</w:t>
      </w:r>
    </w:p>
    <w:p w:rsidR="00F70574" w:rsidRPr="00F70574" w:rsidRDefault="00F70574" w:rsidP="00F70574">
      <w:pPr>
        <w:tabs>
          <w:tab w:val="left" w:pos="4395"/>
        </w:tabs>
        <w:spacing w:after="0" w:line="240" w:lineRule="auto"/>
        <w:ind w:firstLine="709"/>
        <w:jc w:val="both"/>
        <w:rPr>
          <w:rFonts w:ascii="Times New Roman" w:hAnsi="Times New Roman" w:cs="Times New Roman"/>
          <w:sz w:val="24"/>
          <w:szCs w:val="24"/>
        </w:rPr>
      </w:pPr>
      <w:r w:rsidRPr="00F70574">
        <w:rPr>
          <w:rFonts w:ascii="Times New Roman" w:hAnsi="Times New Roman" w:cs="Times New Roman"/>
          <w:sz w:val="24"/>
          <w:szCs w:val="24"/>
        </w:rPr>
        <w:t>5. Настоящее постановление вступает в силу после его подписания.</w:t>
      </w:r>
    </w:p>
    <w:p w:rsidR="00F70574" w:rsidRPr="00F70574" w:rsidRDefault="00F70574" w:rsidP="00F70574">
      <w:pPr>
        <w:pStyle w:val="ConsPlusTitle"/>
        <w:jc w:val="both"/>
        <w:rPr>
          <w:rFonts w:ascii="Times New Roman" w:hAnsi="Times New Roman" w:cs="Times New Roman"/>
          <w:b w:val="0"/>
          <w:sz w:val="24"/>
          <w:szCs w:val="24"/>
        </w:rPr>
      </w:pPr>
    </w:p>
    <w:p w:rsidR="00F70574" w:rsidRPr="00F70574" w:rsidRDefault="00F70574" w:rsidP="00F70574">
      <w:pPr>
        <w:spacing w:after="0"/>
        <w:rPr>
          <w:rFonts w:ascii="Times New Roman" w:eastAsia="Times New Roman" w:hAnsi="Times New Roman" w:cs="Times New Roman"/>
          <w:sz w:val="24"/>
          <w:szCs w:val="24"/>
        </w:rPr>
      </w:pPr>
      <w:r w:rsidRPr="00F70574">
        <w:rPr>
          <w:rFonts w:ascii="Times New Roman" w:hAnsi="Times New Roman" w:cs="Times New Roman"/>
          <w:sz w:val="24"/>
          <w:szCs w:val="24"/>
        </w:rPr>
        <w:t xml:space="preserve">Глава муниципального образования               </w:t>
      </w:r>
      <w:r w:rsidRPr="00F705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0574">
        <w:rPr>
          <w:rFonts w:ascii="Times New Roman" w:hAnsi="Times New Roman" w:cs="Times New Roman"/>
          <w:sz w:val="24"/>
          <w:szCs w:val="24"/>
        </w:rPr>
        <w:t xml:space="preserve">  </w:t>
      </w:r>
      <w:proofErr w:type="spellStart"/>
      <w:r w:rsidRPr="00F70574">
        <w:rPr>
          <w:rFonts w:ascii="Times New Roman" w:hAnsi="Times New Roman" w:cs="Times New Roman"/>
          <w:sz w:val="24"/>
          <w:szCs w:val="24"/>
        </w:rPr>
        <w:t>М.Х.Елешев</w:t>
      </w:r>
      <w:proofErr w:type="spellEnd"/>
    </w:p>
    <w:p w:rsidR="00F70574" w:rsidRPr="00F70574" w:rsidRDefault="00F70574" w:rsidP="00F70574">
      <w:pPr>
        <w:widowControl w:val="0"/>
        <w:spacing w:after="0"/>
        <w:jc w:val="center"/>
        <w:rPr>
          <w:rFonts w:ascii="Times New Roman" w:eastAsia="Times New Roman" w:hAnsi="Times New Roman" w:cs="Times New Roman"/>
          <w:sz w:val="24"/>
          <w:szCs w:val="24"/>
        </w:rPr>
      </w:pPr>
      <w:r w:rsidRPr="00F70574">
        <w:rPr>
          <w:rFonts w:ascii="Times New Roman" w:hAnsi="Times New Roman" w:cs="Times New Roman"/>
          <w:noProof/>
          <w:sz w:val="24"/>
          <w:szCs w:val="24"/>
          <w:lang w:eastAsia="ru-RU"/>
        </w:rPr>
        <w:drawing>
          <wp:anchor distT="0" distB="0" distL="0" distR="0" simplePos="0" relativeHeight="251666432" behindDoc="0" locked="0" layoutInCell="0" allowOverlap="1" wp14:anchorId="0DBE2BA2" wp14:editId="539C9F8C">
            <wp:simplePos x="0" y="0"/>
            <wp:positionH relativeFrom="character">
              <wp:posOffset>-1170305</wp:posOffset>
            </wp:positionH>
            <wp:positionV relativeFrom="paragraph">
              <wp:posOffset>81915</wp:posOffset>
            </wp:positionV>
            <wp:extent cx="2877185" cy="1080135"/>
            <wp:effectExtent l="0" t="0" r="0" b="5715"/>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cstate="print"/>
                    <a:stretch>
                      <a:fillRect/>
                    </a:stretch>
                  </pic:blipFill>
                  <pic:spPr bwMode="auto">
                    <a:xfrm>
                      <a:off x="0" y="0"/>
                      <a:ext cx="2877185" cy="1080135"/>
                    </a:xfrm>
                    <a:prstGeom prst="rect">
                      <a:avLst/>
                    </a:prstGeom>
                  </pic:spPr>
                </pic:pic>
              </a:graphicData>
            </a:graphic>
          </wp:anchor>
        </w:drawing>
      </w:r>
    </w:p>
    <w:p w:rsidR="00F70574" w:rsidRPr="00F70574" w:rsidRDefault="00F70574" w:rsidP="00F70574">
      <w:pPr>
        <w:widowControl w:val="0"/>
        <w:spacing w:after="0"/>
        <w:jc w:val="center"/>
        <w:rPr>
          <w:rFonts w:ascii="Times New Roman" w:eastAsia="Times New Roman" w:hAnsi="Times New Roman" w:cs="Times New Roman"/>
          <w:sz w:val="24"/>
          <w:szCs w:val="24"/>
        </w:rPr>
      </w:pPr>
    </w:p>
    <w:p w:rsidR="00F70574" w:rsidRPr="00F70574" w:rsidRDefault="00F70574" w:rsidP="00F70574">
      <w:pPr>
        <w:shd w:val="clear" w:color="auto" w:fill="FFFFFF"/>
        <w:spacing w:line="326" w:lineRule="exact"/>
        <w:rPr>
          <w:rFonts w:ascii="Times New Roman" w:hAnsi="Times New Roman" w:cs="Times New Roman"/>
          <w:sz w:val="24"/>
          <w:szCs w:val="24"/>
        </w:rPr>
      </w:pPr>
    </w:p>
    <w:p w:rsidR="00F70574" w:rsidRPr="00F70574" w:rsidRDefault="00F70574" w:rsidP="00F70574">
      <w:pPr>
        <w:shd w:val="clear" w:color="auto" w:fill="FFFFFF"/>
        <w:spacing w:line="326" w:lineRule="exact"/>
        <w:rPr>
          <w:rFonts w:ascii="Times New Roman" w:hAnsi="Times New Roman" w:cs="Times New Roman"/>
          <w:sz w:val="24"/>
          <w:szCs w:val="24"/>
        </w:rPr>
      </w:pPr>
    </w:p>
    <w:p w:rsidR="00F70574" w:rsidRPr="00F70574" w:rsidRDefault="00F70574" w:rsidP="00F70574">
      <w:pPr>
        <w:shd w:val="clear" w:color="auto" w:fill="FFFFFF"/>
        <w:spacing w:line="326" w:lineRule="exact"/>
        <w:rPr>
          <w:rFonts w:ascii="Times New Roman" w:hAnsi="Times New Roman" w:cs="Times New Roman"/>
          <w:sz w:val="24"/>
          <w:szCs w:val="24"/>
        </w:rPr>
      </w:pPr>
    </w:p>
    <w:p w:rsidR="00F70574" w:rsidRPr="00F70574" w:rsidRDefault="00F70574" w:rsidP="00F70574">
      <w:pPr>
        <w:spacing w:after="0"/>
        <w:ind w:firstLine="720"/>
        <w:jc w:val="right"/>
        <w:rPr>
          <w:rFonts w:ascii="Times New Roman" w:hAnsi="Times New Roman" w:cs="Times New Roman"/>
          <w:sz w:val="24"/>
          <w:szCs w:val="24"/>
        </w:rPr>
      </w:pPr>
      <w:r w:rsidRPr="00F70574">
        <w:rPr>
          <w:rFonts w:ascii="Times New Roman" w:hAnsi="Times New Roman" w:cs="Times New Roman"/>
          <w:sz w:val="24"/>
          <w:szCs w:val="24"/>
        </w:rPr>
        <w:t xml:space="preserve">Приложение </w:t>
      </w:r>
    </w:p>
    <w:p w:rsidR="00F70574" w:rsidRPr="00F70574" w:rsidRDefault="00F70574" w:rsidP="00F70574">
      <w:pPr>
        <w:spacing w:after="0"/>
        <w:ind w:firstLine="720"/>
        <w:jc w:val="right"/>
        <w:rPr>
          <w:rFonts w:ascii="Times New Roman" w:hAnsi="Times New Roman" w:cs="Times New Roman"/>
          <w:sz w:val="24"/>
          <w:szCs w:val="24"/>
        </w:rPr>
      </w:pPr>
      <w:r w:rsidRPr="00F70574">
        <w:rPr>
          <w:rFonts w:ascii="Times New Roman" w:hAnsi="Times New Roman" w:cs="Times New Roman"/>
          <w:sz w:val="24"/>
          <w:szCs w:val="24"/>
        </w:rPr>
        <w:t>к постановлению администрации</w:t>
      </w:r>
    </w:p>
    <w:p w:rsidR="00F70574" w:rsidRPr="00F70574" w:rsidRDefault="00F70574" w:rsidP="00F70574">
      <w:pPr>
        <w:spacing w:after="0"/>
        <w:ind w:firstLine="720"/>
        <w:jc w:val="right"/>
        <w:rPr>
          <w:rFonts w:ascii="Times New Roman" w:hAnsi="Times New Roman" w:cs="Times New Roman"/>
          <w:sz w:val="24"/>
          <w:szCs w:val="24"/>
        </w:rPr>
      </w:pPr>
      <w:r w:rsidRPr="00F70574">
        <w:rPr>
          <w:rFonts w:ascii="Times New Roman" w:hAnsi="Times New Roman" w:cs="Times New Roman"/>
          <w:sz w:val="24"/>
          <w:szCs w:val="24"/>
        </w:rPr>
        <w:t xml:space="preserve">муниципального образования </w:t>
      </w:r>
    </w:p>
    <w:p w:rsidR="00F70574" w:rsidRPr="00F70574" w:rsidRDefault="00F70574" w:rsidP="00F70574">
      <w:pPr>
        <w:spacing w:after="0"/>
        <w:ind w:firstLine="720"/>
        <w:jc w:val="right"/>
        <w:rPr>
          <w:rFonts w:ascii="Times New Roman" w:hAnsi="Times New Roman" w:cs="Times New Roman"/>
          <w:sz w:val="24"/>
          <w:szCs w:val="24"/>
        </w:rPr>
      </w:pP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сельсовет </w:t>
      </w:r>
    </w:p>
    <w:p w:rsidR="00F70574" w:rsidRPr="00F70574" w:rsidRDefault="00F70574" w:rsidP="00F70574">
      <w:pPr>
        <w:spacing w:after="0"/>
        <w:ind w:firstLine="720"/>
        <w:jc w:val="right"/>
        <w:rPr>
          <w:rFonts w:ascii="Times New Roman" w:hAnsi="Times New Roman" w:cs="Times New Roman"/>
          <w:sz w:val="24"/>
          <w:szCs w:val="24"/>
        </w:rPr>
      </w:pPr>
      <w:r w:rsidRPr="00F70574">
        <w:rPr>
          <w:rFonts w:ascii="Times New Roman" w:hAnsi="Times New Roman" w:cs="Times New Roman"/>
          <w:sz w:val="24"/>
          <w:szCs w:val="24"/>
        </w:rPr>
        <w:t>Беляевского района Оренбургской области</w:t>
      </w:r>
    </w:p>
    <w:p w:rsidR="00F70574" w:rsidRPr="00F70574" w:rsidRDefault="00F70574" w:rsidP="00F70574">
      <w:pPr>
        <w:spacing w:after="0"/>
        <w:ind w:firstLine="720"/>
        <w:jc w:val="center"/>
        <w:rPr>
          <w:rFonts w:ascii="Times New Roman" w:hAnsi="Times New Roman" w:cs="Times New Roman"/>
          <w:sz w:val="24"/>
          <w:szCs w:val="24"/>
        </w:rPr>
      </w:pPr>
      <w:r w:rsidRPr="00F70574">
        <w:rPr>
          <w:rFonts w:ascii="Times New Roman" w:hAnsi="Times New Roman" w:cs="Times New Roman"/>
          <w:noProof/>
          <w:sz w:val="24"/>
          <w:szCs w:val="24"/>
          <w:lang w:eastAsia="ru-RU"/>
        </w:rPr>
        <w:drawing>
          <wp:anchor distT="0" distB="0" distL="0" distR="0" simplePos="0" relativeHeight="251660288" behindDoc="0" locked="0" layoutInCell="0" allowOverlap="1" wp14:anchorId="0CCCB465" wp14:editId="24312F3B">
            <wp:simplePos x="0" y="0"/>
            <wp:positionH relativeFrom="character">
              <wp:align>left</wp:align>
            </wp:positionH>
            <wp:positionV relativeFrom="line">
              <wp:posOffset>635</wp:posOffset>
            </wp:positionV>
            <wp:extent cx="2924175" cy="360045"/>
            <wp:effectExtent l="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5"/>
                    <a:stretch>
                      <a:fillRect/>
                    </a:stretch>
                  </pic:blipFill>
                  <pic:spPr bwMode="auto">
                    <a:xfrm>
                      <a:off x="0" y="0"/>
                      <a:ext cx="2924175" cy="360045"/>
                    </a:xfrm>
                    <a:prstGeom prst="rect">
                      <a:avLst/>
                    </a:prstGeom>
                  </pic:spPr>
                </pic:pic>
              </a:graphicData>
            </a:graphic>
          </wp:anchor>
        </w:drawing>
      </w:r>
    </w:p>
    <w:p w:rsidR="00F70574" w:rsidRPr="00F70574" w:rsidRDefault="00F70574" w:rsidP="00F70574">
      <w:pPr>
        <w:ind w:firstLine="720"/>
        <w:jc w:val="center"/>
        <w:rPr>
          <w:rFonts w:ascii="Times New Roman" w:hAnsi="Times New Roman" w:cs="Times New Roman"/>
          <w:sz w:val="24"/>
          <w:szCs w:val="24"/>
        </w:rPr>
      </w:pPr>
      <w:r w:rsidRPr="00F70574">
        <w:rPr>
          <w:rFonts w:ascii="Times New Roman" w:hAnsi="Times New Roman" w:cs="Times New Roman"/>
          <w:sz w:val="24"/>
          <w:szCs w:val="24"/>
        </w:rPr>
        <w:lastRenderedPageBreak/>
        <w:t>Жилые помещения, поврежденные в результате чрезвычайной ситуации, сложившейся на территории Оренбургской области в связи с прохождением весеннего паводка в 2024 году соответствующие требованиям, предъявляемым к жилому помещению, и пригодные для проживания после проведения капитального ремонта</w:t>
      </w:r>
    </w:p>
    <w:tbl>
      <w:tblPr>
        <w:tblW w:w="9464" w:type="dxa"/>
        <w:tblInd w:w="113" w:type="dxa"/>
        <w:tblLayout w:type="fixed"/>
        <w:tblLook w:val="04A0" w:firstRow="1" w:lastRow="0" w:firstColumn="1" w:lastColumn="0" w:noHBand="0" w:noVBand="1"/>
      </w:tblPr>
      <w:tblGrid>
        <w:gridCol w:w="567"/>
        <w:gridCol w:w="4522"/>
        <w:gridCol w:w="2122"/>
        <w:gridCol w:w="2253"/>
      </w:tblGrid>
      <w:tr w:rsidR="00F70574" w:rsidRPr="00F70574" w:rsidTr="00D176C8">
        <w:trPr>
          <w:trHeight w:val="1189"/>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 п/п</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Адрес жилого помещения</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Общая площадь жилого помещения (кв. м)</w:t>
            </w:r>
          </w:p>
        </w:tc>
        <w:tc>
          <w:tcPr>
            <w:tcW w:w="2253" w:type="dxa"/>
            <w:tcBorders>
              <w:top w:val="single" w:sz="4" w:space="0" w:color="000000"/>
              <w:left w:val="single" w:sz="4" w:space="0" w:color="000000"/>
              <w:bottom w:val="single" w:sz="4" w:space="0" w:color="000000"/>
              <w:right w:val="single" w:sz="4" w:space="0" w:color="000000"/>
            </w:tcBorders>
            <w:shd w:val="clear" w:color="000000" w:fill="auto"/>
          </w:tcPr>
          <w:p w:rsidR="00F70574" w:rsidRPr="00F70574" w:rsidRDefault="00F70574" w:rsidP="00D176C8">
            <w:pPr>
              <w:widowControl w:val="0"/>
              <w:spacing w:after="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Кадастровый номер жилого помещения</w:t>
            </w:r>
          </w:p>
        </w:tc>
      </w:tr>
      <w:tr w:rsidR="00F70574" w:rsidRPr="00F70574" w:rsidTr="00D176C8">
        <w:trPr>
          <w:trHeight w:val="1453"/>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1</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line="240" w:lineRule="auto"/>
              <w:rPr>
                <w:rFonts w:ascii="Times New Roman" w:hAnsi="Times New Roman" w:cs="Times New Roman"/>
                <w:sz w:val="24"/>
                <w:szCs w:val="24"/>
              </w:rPr>
            </w:pPr>
            <w:r w:rsidRPr="00F70574">
              <w:rPr>
                <w:rFonts w:ascii="Times New Roman" w:hAnsi="Times New Roman" w:cs="Times New Roman"/>
                <w:sz w:val="24"/>
                <w:szCs w:val="24"/>
              </w:rPr>
              <w:t xml:space="preserve">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Рыбная, дом № 1Д.</w:t>
            </w:r>
          </w:p>
          <w:p w:rsidR="00F70574" w:rsidRPr="00F70574" w:rsidRDefault="00F70574" w:rsidP="00D176C8">
            <w:pPr>
              <w:widowControl w:val="0"/>
              <w:spacing w:after="0" w:line="240" w:lineRule="auto"/>
              <w:rPr>
                <w:rFonts w:ascii="Times New Roman" w:hAnsi="Times New Roman" w:cs="Times New Roman"/>
                <w:sz w:val="24"/>
                <w:szCs w:val="24"/>
              </w:rPr>
            </w:pPr>
            <w:r w:rsidRPr="00F70574">
              <w:rPr>
                <w:rFonts w:ascii="Times New Roman" w:hAnsi="Times New Roman" w:cs="Times New Roman"/>
                <w:sz w:val="24"/>
                <w:szCs w:val="24"/>
              </w:rPr>
              <w:t xml:space="preserve">( согласно данным из ЕГРН: 461330 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Рыбная, дом № 1Д.)</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sz w:val="24"/>
                <w:szCs w:val="24"/>
              </w:rPr>
            </w:pPr>
          </w:p>
          <w:p w:rsidR="00F70574" w:rsidRPr="00F70574" w:rsidRDefault="00F70574" w:rsidP="00D176C8">
            <w:pPr>
              <w:widowControl w:val="0"/>
              <w:jc w:val="center"/>
              <w:rPr>
                <w:rFonts w:ascii="Times New Roman" w:hAnsi="Times New Roman" w:cs="Times New Roman"/>
                <w:sz w:val="24"/>
                <w:szCs w:val="24"/>
              </w:rPr>
            </w:pPr>
          </w:p>
          <w:p w:rsidR="00F70574" w:rsidRPr="00F70574" w:rsidRDefault="00F70574" w:rsidP="00D176C8">
            <w:pPr>
              <w:widowControl w:val="0"/>
              <w:jc w:val="center"/>
              <w:rPr>
                <w:rFonts w:ascii="Times New Roman" w:hAnsi="Times New Roman" w:cs="Times New Roman"/>
                <w:sz w:val="24"/>
                <w:szCs w:val="24"/>
              </w:rPr>
            </w:pPr>
            <w:r w:rsidRPr="00F70574">
              <w:rPr>
                <w:rFonts w:ascii="Times New Roman" w:hAnsi="Times New Roman" w:cs="Times New Roman"/>
                <w:sz w:val="24"/>
                <w:szCs w:val="24"/>
              </w:rPr>
              <w:t>98,3</w:t>
            </w:r>
          </w:p>
        </w:tc>
        <w:tc>
          <w:tcPr>
            <w:tcW w:w="2253" w:type="dxa"/>
            <w:tcBorders>
              <w:top w:val="single" w:sz="4" w:space="0" w:color="000000"/>
              <w:left w:val="single" w:sz="4" w:space="0" w:color="000000"/>
              <w:bottom w:val="single" w:sz="4" w:space="0" w:color="000000"/>
              <w:right w:val="single" w:sz="4" w:space="0" w:color="000000"/>
            </w:tcBorders>
            <w:shd w:val="clear" w:color="000000" w:fill="auto"/>
          </w:tcPr>
          <w:p w:rsidR="00F70574" w:rsidRPr="00F70574" w:rsidRDefault="00F70574" w:rsidP="00D176C8">
            <w:pPr>
              <w:widowControl w:val="0"/>
              <w:jc w:val="center"/>
              <w:rPr>
                <w:rFonts w:ascii="Times New Roman" w:hAnsi="Times New Roman" w:cs="Times New Roman"/>
                <w:sz w:val="24"/>
                <w:szCs w:val="24"/>
              </w:rPr>
            </w:pPr>
          </w:p>
          <w:p w:rsidR="00F70574" w:rsidRPr="00F70574" w:rsidRDefault="00F70574" w:rsidP="00D176C8">
            <w:pPr>
              <w:widowControl w:val="0"/>
              <w:jc w:val="center"/>
              <w:rPr>
                <w:rFonts w:ascii="Times New Roman" w:hAnsi="Times New Roman" w:cs="Times New Roman"/>
                <w:sz w:val="24"/>
                <w:szCs w:val="24"/>
              </w:rPr>
            </w:pPr>
          </w:p>
          <w:p w:rsidR="00F70574" w:rsidRPr="00F70574" w:rsidRDefault="00F70574" w:rsidP="00D176C8">
            <w:pPr>
              <w:widowControl w:val="0"/>
              <w:jc w:val="center"/>
              <w:rPr>
                <w:rFonts w:ascii="Times New Roman" w:hAnsi="Times New Roman" w:cs="Times New Roman"/>
                <w:sz w:val="24"/>
                <w:szCs w:val="24"/>
              </w:rPr>
            </w:pPr>
            <w:r w:rsidRPr="00F70574">
              <w:rPr>
                <w:rFonts w:ascii="Times New Roman" w:hAnsi="Times New Roman" w:cs="Times New Roman"/>
                <w:sz w:val="24"/>
                <w:szCs w:val="24"/>
              </w:rPr>
              <w:t>56:06:0201003:238</w:t>
            </w:r>
          </w:p>
        </w:tc>
      </w:tr>
      <w:tr w:rsidR="00F70574" w:rsidRPr="00F70574" w:rsidTr="00D176C8">
        <w:trPr>
          <w:trHeight w:val="112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sz w:val="24"/>
                <w:szCs w:val="24"/>
              </w:rPr>
            </w:pPr>
            <w:r w:rsidRPr="00F70574">
              <w:rPr>
                <w:rFonts w:ascii="Times New Roman" w:hAnsi="Times New Roman" w:cs="Times New Roman"/>
                <w:sz w:val="24"/>
                <w:szCs w:val="24"/>
              </w:rPr>
              <w:t>2</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line="240" w:lineRule="auto"/>
              <w:jc w:val="both"/>
              <w:rPr>
                <w:rFonts w:ascii="Times New Roman" w:hAnsi="Times New Roman" w:cs="Times New Roman"/>
                <w:sz w:val="24"/>
                <w:szCs w:val="24"/>
              </w:rPr>
            </w:pPr>
            <w:r w:rsidRPr="00F70574">
              <w:rPr>
                <w:rFonts w:ascii="Times New Roman" w:hAnsi="Times New Roman" w:cs="Times New Roman"/>
                <w:sz w:val="24"/>
                <w:szCs w:val="24"/>
              </w:rPr>
              <w:t xml:space="preserve">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Северная, дом № 11, кв.2.</w:t>
            </w:r>
          </w:p>
          <w:p w:rsidR="00F70574" w:rsidRPr="00F70574" w:rsidRDefault="00F70574" w:rsidP="00D176C8">
            <w:pPr>
              <w:widowControl w:val="0"/>
              <w:spacing w:after="0" w:line="240" w:lineRule="auto"/>
              <w:jc w:val="both"/>
              <w:rPr>
                <w:rFonts w:ascii="Times New Roman" w:hAnsi="Times New Roman" w:cs="Times New Roman"/>
                <w:sz w:val="24"/>
                <w:szCs w:val="24"/>
              </w:rPr>
            </w:pPr>
            <w:r w:rsidRPr="00F70574">
              <w:rPr>
                <w:rFonts w:ascii="Times New Roman" w:hAnsi="Times New Roman" w:cs="Times New Roman"/>
                <w:sz w:val="24"/>
                <w:szCs w:val="24"/>
              </w:rPr>
              <w:t xml:space="preserve">( согласно данным из ЕГРН: 461330 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Северная, дом № 11, кв.2.)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sz w:val="24"/>
                <w:szCs w:val="24"/>
              </w:rPr>
            </w:pPr>
          </w:p>
          <w:p w:rsidR="00F70574" w:rsidRPr="00F70574" w:rsidRDefault="00F70574" w:rsidP="00D176C8">
            <w:pPr>
              <w:widowControl w:val="0"/>
              <w:jc w:val="center"/>
              <w:rPr>
                <w:rFonts w:ascii="Times New Roman" w:hAnsi="Times New Roman" w:cs="Times New Roman"/>
                <w:sz w:val="24"/>
                <w:szCs w:val="24"/>
              </w:rPr>
            </w:pPr>
            <w:r w:rsidRPr="00F70574">
              <w:rPr>
                <w:rFonts w:ascii="Times New Roman" w:hAnsi="Times New Roman" w:cs="Times New Roman"/>
                <w:sz w:val="24"/>
                <w:szCs w:val="24"/>
              </w:rPr>
              <w:t>60,9</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sz w:val="24"/>
                <w:szCs w:val="24"/>
              </w:rPr>
            </w:pPr>
          </w:p>
          <w:p w:rsidR="00F70574" w:rsidRPr="00F70574" w:rsidRDefault="00F70574" w:rsidP="00D176C8">
            <w:pPr>
              <w:widowControl w:val="0"/>
              <w:jc w:val="center"/>
              <w:rPr>
                <w:rFonts w:ascii="Times New Roman" w:hAnsi="Times New Roman" w:cs="Times New Roman"/>
                <w:sz w:val="24"/>
                <w:szCs w:val="24"/>
              </w:rPr>
            </w:pPr>
            <w:r w:rsidRPr="00F70574">
              <w:rPr>
                <w:rFonts w:ascii="Times New Roman" w:hAnsi="Times New Roman" w:cs="Times New Roman"/>
                <w:sz w:val="24"/>
                <w:szCs w:val="24"/>
              </w:rPr>
              <w:t>56:06:0201006:135</w:t>
            </w:r>
          </w:p>
        </w:tc>
      </w:tr>
      <w:tr w:rsidR="00F70574" w:rsidRPr="00F70574" w:rsidTr="00D176C8">
        <w:trPr>
          <w:trHeight w:val="112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sz w:val="24"/>
                <w:szCs w:val="24"/>
              </w:rPr>
            </w:pPr>
            <w:r w:rsidRPr="00F70574">
              <w:rPr>
                <w:rFonts w:ascii="Times New Roman" w:hAnsi="Times New Roman" w:cs="Times New Roman"/>
                <w:sz w:val="24"/>
                <w:szCs w:val="24"/>
              </w:rPr>
              <w:t>3</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line="240" w:lineRule="auto"/>
              <w:jc w:val="both"/>
              <w:rPr>
                <w:rFonts w:ascii="Times New Roman" w:hAnsi="Times New Roman" w:cs="Times New Roman"/>
                <w:sz w:val="24"/>
                <w:szCs w:val="24"/>
              </w:rPr>
            </w:pPr>
            <w:r w:rsidRPr="00F70574">
              <w:rPr>
                <w:rFonts w:ascii="Times New Roman" w:hAnsi="Times New Roman" w:cs="Times New Roman"/>
                <w:sz w:val="24"/>
                <w:szCs w:val="24"/>
              </w:rPr>
              <w:t xml:space="preserve">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Северная, дом № 13, кв.1.</w:t>
            </w:r>
          </w:p>
          <w:p w:rsidR="00F70574" w:rsidRPr="00F70574" w:rsidRDefault="00F70574" w:rsidP="00D176C8">
            <w:pPr>
              <w:widowControl w:val="0"/>
              <w:spacing w:after="0" w:line="240" w:lineRule="auto"/>
              <w:jc w:val="both"/>
              <w:rPr>
                <w:rFonts w:ascii="Times New Roman" w:hAnsi="Times New Roman" w:cs="Times New Roman"/>
                <w:sz w:val="24"/>
                <w:szCs w:val="24"/>
              </w:rPr>
            </w:pPr>
            <w:r w:rsidRPr="00F70574">
              <w:rPr>
                <w:rFonts w:ascii="Times New Roman" w:hAnsi="Times New Roman" w:cs="Times New Roman"/>
                <w:sz w:val="24"/>
                <w:szCs w:val="24"/>
              </w:rPr>
              <w:t xml:space="preserve">( согласно данным из ЕГРН: 461330 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Северная, дом № 13, кв.1.)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line="240" w:lineRule="auto"/>
              <w:jc w:val="both"/>
              <w:rPr>
                <w:rFonts w:ascii="Times New Roman" w:hAnsi="Times New Roman" w:cs="Times New Roman"/>
                <w:sz w:val="24"/>
                <w:szCs w:val="24"/>
              </w:rPr>
            </w:pPr>
          </w:p>
          <w:p w:rsidR="00F70574" w:rsidRPr="00F70574" w:rsidRDefault="00F70574" w:rsidP="00D176C8">
            <w:pPr>
              <w:widowControl w:val="0"/>
              <w:spacing w:after="0" w:line="240" w:lineRule="auto"/>
              <w:jc w:val="both"/>
              <w:rPr>
                <w:rFonts w:ascii="Times New Roman" w:hAnsi="Times New Roman" w:cs="Times New Roman"/>
                <w:sz w:val="24"/>
                <w:szCs w:val="24"/>
              </w:rPr>
            </w:pPr>
          </w:p>
          <w:p w:rsidR="00F70574" w:rsidRPr="00F70574" w:rsidRDefault="00F70574" w:rsidP="00D176C8">
            <w:pPr>
              <w:widowControl w:val="0"/>
              <w:spacing w:after="0" w:line="240" w:lineRule="auto"/>
              <w:jc w:val="center"/>
              <w:rPr>
                <w:rFonts w:ascii="Times New Roman" w:hAnsi="Times New Roman" w:cs="Times New Roman"/>
                <w:sz w:val="24"/>
                <w:szCs w:val="24"/>
              </w:rPr>
            </w:pPr>
            <w:r w:rsidRPr="00F70574">
              <w:rPr>
                <w:rFonts w:ascii="Times New Roman" w:hAnsi="Times New Roman" w:cs="Times New Roman"/>
                <w:sz w:val="24"/>
                <w:szCs w:val="24"/>
              </w:rPr>
              <w:t>62,6</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line="240" w:lineRule="auto"/>
              <w:jc w:val="both"/>
              <w:rPr>
                <w:rFonts w:ascii="Times New Roman" w:hAnsi="Times New Roman" w:cs="Times New Roman"/>
                <w:sz w:val="24"/>
                <w:szCs w:val="24"/>
              </w:rPr>
            </w:pPr>
          </w:p>
          <w:p w:rsidR="00F70574" w:rsidRPr="00F70574" w:rsidRDefault="00F70574" w:rsidP="00D176C8">
            <w:pPr>
              <w:widowControl w:val="0"/>
              <w:spacing w:after="0" w:line="240" w:lineRule="auto"/>
              <w:jc w:val="both"/>
              <w:rPr>
                <w:rFonts w:ascii="Times New Roman" w:hAnsi="Times New Roman" w:cs="Times New Roman"/>
                <w:sz w:val="24"/>
                <w:szCs w:val="24"/>
              </w:rPr>
            </w:pPr>
          </w:p>
          <w:p w:rsidR="00F70574" w:rsidRPr="00F70574" w:rsidRDefault="00F70574" w:rsidP="00D176C8">
            <w:pPr>
              <w:widowControl w:val="0"/>
              <w:spacing w:after="0" w:line="240" w:lineRule="auto"/>
              <w:jc w:val="center"/>
              <w:rPr>
                <w:rFonts w:ascii="Times New Roman" w:hAnsi="Times New Roman" w:cs="Times New Roman"/>
                <w:sz w:val="24"/>
                <w:szCs w:val="24"/>
              </w:rPr>
            </w:pPr>
            <w:r w:rsidRPr="00F70574">
              <w:rPr>
                <w:rFonts w:ascii="Times New Roman" w:hAnsi="Times New Roman" w:cs="Times New Roman"/>
                <w:sz w:val="24"/>
                <w:szCs w:val="24"/>
              </w:rPr>
              <w:t>56:06:0201006:146</w:t>
            </w:r>
          </w:p>
        </w:tc>
      </w:tr>
      <w:tr w:rsidR="00F70574" w:rsidRPr="00F70574" w:rsidTr="00D176C8">
        <w:trPr>
          <w:trHeight w:val="112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sz w:val="24"/>
                <w:szCs w:val="24"/>
              </w:rPr>
            </w:pPr>
            <w:r w:rsidRPr="00F70574">
              <w:rPr>
                <w:rFonts w:ascii="Times New Roman" w:hAnsi="Times New Roman" w:cs="Times New Roman"/>
                <w:sz w:val="24"/>
                <w:szCs w:val="24"/>
              </w:rPr>
              <w:t>4</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rPr>
                <w:rFonts w:ascii="Times New Roman" w:hAnsi="Times New Roman" w:cs="Times New Roman"/>
                <w:color w:val="000000"/>
                <w:sz w:val="24"/>
                <w:szCs w:val="24"/>
              </w:rPr>
            </w:pPr>
            <w:r w:rsidRPr="00F70574">
              <w:rPr>
                <w:rFonts w:ascii="Times New Roman" w:hAnsi="Times New Roman" w:cs="Times New Roman"/>
                <w:sz w:val="24"/>
                <w:szCs w:val="24"/>
              </w:rPr>
              <w:t xml:space="preserve">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Северная, дом № 13, кв.2                                                                                           (согласно данным из ЕГРН: 461330 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Северная, дом № 13, кв.2)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89,0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56:06:0201006:145</w:t>
            </w:r>
          </w:p>
        </w:tc>
      </w:tr>
      <w:tr w:rsidR="00F70574" w:rsidRPr="00F70574" w:rsidTr="00D176C8">
        <w:trPr>
          <w:trHeight w:val="1121"/>
        </w:trPr>
        <w:tc>
          <w:tcPr>
            <w:tcW w:w="566"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spacing w:after="0"/>
              <w:jc w:val="center"/>
              <w:rPr>
                <w:rFonts w:ascii="Times New Roman" w:hAnsi="Times New Roman" w:cs="Times New Roman"/>
                <w:sz w:val="24"/>
                <w:szCs w:val="24"/>
              </w:rPr>
            </w:pPr>
            <w:r w:rsidRPr="00F70574">
              <w:rPr>
                <w:rFonts w:ascii="Times New Roman" w:hAnsi="Times New Roman" w:cs="Times New Roman"/>
                <w:sz w:val="24"/>
                <w:szCs w:val="24"/>
              </w:rPr>
              <w:t>5</w:t>
            </w:r>
          </w:p>
        </w:tc>
        <w:tc>
          <w:tcPr>
            <w:tcW w:w="45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rPr>
                <w:rFonts w:ascii="Times New Roman" w:hAnsi="Times New Roman" w:cs="Times New Roman"/>
                <w:color w:val="000000"/>
                <w:sz w:val="24"/>
                <w:szCs w:val="24"/>
              </w:rPr>
            </w:pPr>
            <w:r w:rsidRPr="00F70574">
              <w:rPr>
                <w:rFonts w:ascii="Times New Roman" w:hAnsi="Times New Roman" w:cs="Times New Roman"/>
                <w:sz w:val="24"/>
                <w:szCs w:val="24"/>
              </w:rPr>
              <w:t xml:space="preserve">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w:t>
            </w:r>
            <w:proofErr w:type="spellStart"/>
            <w:r w:rsidRPr="00F70574">
              <w:rPr>
                <w:rFonts w:ascii="Times New Roman" w:hAnsi="Times New Roman" w:cs="Times New Roman"/>
                <w:sz w:val="24"/>
                <w:szCs w:val="24"/>
              </w:rPr>
              <w:t>Новоселовская</w:t>
            </w:r>
            <w:proofErr w:type="spellEnd"/>
            <w:r w:rsidRPr="00F70574">
              <w:rPr>
                <w:rFonts w:ascii="Times New Roman" w:hAnsi="Times New Roman" w:cs="Times New Roman"/>
                <w:sz w:val="24"/>
                <w:szCs w:val="24"/>
              </w:rPr>
              <w:t xml:space="preserve">, дом № 2Б                                                                                          (согласно данным из ЕГРН: 461330 </w:t>
            </w:r>
            <w:r w:rsidRPr="00F70574">
              <w:rPr>
                <w:rFonts w:ascii="Times New Roman" w:hAnsi="Times New Roman" w:cs="Times New Roman"/>
                <w:sz w:val="24"/>
                <w:szCs w:val="24"/>
              </w:rPr>
              <w:lastRenderedPageBreak/>
              <w:t xml:space="preserve">Российская Федерация,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муниципальный район, село Беляевка, ул. </w:t>
            </w:r>
            <w:proofErr w:type="spellStart"/>
            <w:r w:rsidRPr="00F70574">
              <w:rPr>
                <w:rFonts w:ascii="Times New Roman" w:hAnsi="Times New Roman" w:cs="Times New Roman"/>
                <w:sz w:val="24"/>
                <w:szCs w:val="24"/>
              </w:rPr>
              <w:t>Новоселовская</w:t>
            </w:r>
            <w:proofErr w:type="spellEnd"/>
            <w:r w:rsidRPr="00F70574">
              <w:rPr>
                <w:rFonts w:ascii="Times New Roman" w:hAnsi="Times New Roman" w:cs="Times New Roman"/>
                <w:sz w:val="24"/>
                <w:szCs w:val="24"/>
              </w:rPr>
              <w:t>, дом № 2Б)</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lastRenderedPageBreak/>
              <w:t>104,0</w:t>
            </w:r>
          </w:p>
        </w:tc>
        <w:tc>
          <w:tcPr>
            <w:tcW w:w="2253" w:type="dxa"/>
            <w:tcBorders>
              <w:top w:val="single" w:sz="4" w:space="0" w:color="000000"/>
              <w:left w:val="single" w:sz="4" w:space="0" w:color="000000"/>
              <w:bottom w:val="single" w:sz="4" w:space="0" w:color="000000"/>
              <w:right w:val="single" w:sz="4" w:space="0" w:color="000000"/>
            </w:tcBorders>
            <w:shd w:val="clear" w:color="auto" w:fill="auto"/>
          </w:tcPr>
          <w:p w:rsidR="00F70574" w:rsidRPr="00F70574" w:rsidRDefault="00F70574" w:rsidP="00D176C8">
            <w:pPr>
              <w:widowControl w:val="0"/>
              <w:jc w:val="center"/>
              <w:rPr>
                <w:rFonts w:ascii="Times New Roman" w:hAnsi="Times New Roman" w:cs="Times New Roman"/>
                <w:color w:val="000000"/>
                <w:sz w:val="24"/>
                <w:szCs w:val="24"/>
              </w:rPr>
            </w:pPr>
            <w:r w:rsidRPr="00F70574">
              <w:rPr>
                <w:rFonts w:ascii="Times New Roman" w:hAnsi="Times New Roman" w:cs="Times New Roman"/>
                <w:color w:val="000000"/>
                <w:sz w:val="24"/>
                <w:szCs w:val="24"/>
              </w:rPr>
              <w:t>56:06:0201006:153</w:t>
            </w:r>
          </w:p>
        </w:tc>
      </w:tr>
    </w:tbl>
    <w:p w:rsidR="00F70574" w:rsidRPr="00F70574" w:rsidRDefault="00F70574" w:rsidP="00F70574">
      <w:pPr>
        <w:jc w:val="both"/>
        <w:rPr>
          <w:rFonts w:ascii="Times New Roman" w:hAnsi="Times New Roman" w:cs="Times New Roman"/>
          <w:sz w:val="24"/>
          <w:szCs w:val="24"/>
        </w:rPr>
      </w:pPr>
    </w:p>
    <w:tbl>
      <w:tblPr>
        <w:tblW w:w="9282" w:type="dxa"/>
        <w:jc w:val="center"/>
        <w:tblLayout w:type="fixed"/>
        <w:tblCellMar>
          <w:left w:w="70" w:type="dxa"/>
          <w:right w:w="70" w:type="dxa"/>
        </w:tblCellMar>
        <w:tblLook w:val="04A0" w:firstRow="1" w:lastRow="0" w:firstColumn="1" w:lastColumn="0" w:noHBand="0" w:noVBand="1"/>
      </w:tblPr>
      <w:tblGrid>
        <w:gridCol w:w="9282"/>
      </w:tblGrid>
      <w:tr w:rsidR="00F70574" w:rsidRPr="00F70574" w:rsidTr="00D176C8">
        <w:trPr>
          <w:cantSplit/>
          <w:trHeight w:val="939"/>
          <w:jc w:val="center"/>
        </w:trPr>
        <w:tc>
          <w:tcPr>
            <w:tcW w:w="9282" w:type="dxa"/>
            <w:tcBorders>
              <w:bottom w:val="double" w:sz="12" w:space="0" w:color="000000"/>
            </w:tcBorders>
          </w:tcPr>
          <w:p w:rsidR="00F70574" w:rsidRPr="00F70574" w:rsidRDefault="00F70574" w:rsidP="00D176C8">
            <w:pPr>
              <w:widowControl w:val="0"/>
              <w:spacing w:after="0" w:line="240" w:lineRule="auto"/>
              <w:jc w:val="center"/>
              <w:rPr>
                <w:rFonts w:ascii="Times New Roman" w:hAnsi="Times New Roman" w:cs="Times New Roman"/>
                <w:b/>
                <w:sz w:val="24"/>
                <w:szCs w:val="24"/>
              </w:rPr>
            </w:pPr>
            <w:r w:rsidRPr="00F70574">
              <w:rPr>
                <w:rFonts w:ascii="Times New Roman" w:hAnsi="Times New Roman" w:cs="Times New Roman"/>
                <w:b/>
                <w:sz w:val="24"/>
                <w:szCs w:val="24"/>
              </w:rPr>
              <w:t>АДМИНИСТРАЦИЯ</w:t>
            </w:r>
          </w:p>
          <w:p w:rsidR="00F70574" w:rsidRPr="00F70574" w:rsidRDefault="00F70574" w:rsidP="00D176C8">
            <w:pPr>
              <w:widowControl w:val="0"/>
              <w:spacing w:after="0" w:line="240" w:lineRule="auto"/>
              <w:jc w:val="center"/>
              <w:rPr>
                <w:rFonts w:ascii="Times New Roman" w:hAnsi="Times New Roman" w:cs="Times New Roman"/>
                <w:b/>
                <w:sz w:val="24"/>
                <w:szCs w:val="24"/>
              </w:rPr>
            </w:pPr>
            <w:r w:rsidRPr="00F70574">
              <w:rPr>
                <w:rFonts w:ascii="Times New Roman" w:hAnsi="Times New Roman" w:cs="Times New Roman"/>
                <w:b/>
                <w:sz w:val="24"/>
                <w:szCs w:val="24"/>
              </w:rPr>
              <w:t>МУНИЦИПАЛЬНОГО ОБРАЗОВАНИЯ</w:t>
            </w:r>
          </w:p>
          <w:p w:rsidR="00F70574" w:rsidRPr="00F70574" w:rsidRDefault="00F70574" w:rsidP="00D176C8">
            <w:pPr>
              <w:widowControl w:val="0"/>
              <w:spacing w:after="0" w:line="240" w:lineRule="auto"/>
              <w:jc w:val="center"/>
              <w:rPr>
                <w:rFonts w:ascii="Times New Roman" w:hAnsi="Times New Roman" w:cs="Times New Roman"/>
                <w:b/>
                <w:sz w:val="24"/>
                <w:szCs w:val="24"/>
              </w:rPr>
            </w:pPr>
            <w:r w:rsidRPr="00F70574">
              <w:rPr>
                <w:rFonts w:ascii="Times New Roman" w:hAnsi="Times New Roman" w:cs="Times New Roman"/>
                <w:b/>
                <w:sz w:val="24"/>
                <w:szCs w:val="24"/>
              </w:rPr>
              <w:t>БЕЛЯЕВСКИЙ СЕЛЬСОВЕТ</w:t>
            </w:r>
          </w:p>
          <w:p w:rsidR="00F70574" w:rsidRPr="00F70574" w:rsidRDefault="00F70574" w:rsidP="00D176C8">
            <w:pPr>
              <w:widowControl w:val="0"/>
              <w:spacing w:after="0" w:line="240" w:lineRule="auto"/>
              <w:jc w:val="center"/>
              <w:rPr>
                <w:rFonts w:ascii="Times New Roman" w:hAnsi="Times New Roman" w:cs="Times New Roman"/>
                <w:b/>
                <w:sz w:val="24"/>
                <w:szCs w:val="24"/>
              </w:rPr>
            </w:pPr>
            <w:r w:rsidRPr="00F70574">
              <w:rPr>
                <w:rFonts w:ascii="Times New Roman" w:hAnsi="Times New Roman" w:cs="Times New Roman"/>
                <w:b/>
                <w:sz w:val="24"/>
                <w:szCs w:val="24"/>
              </w:rPr>
              <w:t>БЕЛЯЕВСКОГО  РАЙОНА ОРЕНБУРГСКОЙ ОБЛАСТИ</w:t>
            </w:r>
          </w:p>
        </w:tc>
      </w:tr>
      <w:tr w:rsidR="00F70574" w:rsidRPr="00F70574" w:rsidTr="00D176C8">
        <w:trPr>
          <w:cantSplit/>
          <w:trHeight w:val="986"/>
          <w:jc w:val="center"/>
        </w:trPr>
        <w:tc>
          <w:tcPr>
            <w:tcW w:w="9282" w:type="dxa"/>
            <w:vAlign w:val="bottom"/>
          </w:tcPr>
          <w:p w:rsidR="00F70574" w:rsidRPr="00F70574" w:rsidRDefault="00F70574" w:rsidP="00D176C8">
            <w:pPr>
              <w:widowControl w:val="0"/>
              <w:spacing w:after="0" w:line="240" w:lineRule="auto"/>
              <w:rPr>
                <w:rFonts w:ascii="Times New Roman" w:hAnsi="Times New Roman" w:cs="Times New Roman"/>
                <w:b/>
                <w:sz w:val="24"/>
                <w:szCs w:val="24"/>
              </w:rPr>
            </w:pPr>
          </w:p>
          <w:p w:rsidR="00F70574" w:rsidRPr="00F70574" w:rsidRDefault="00F70574" w:rsidP="00D176C8">
            <w:pPr>
              <w:widowControl w:val="0"/>
              <w:spacing w:after="0" w:line="240" w:lineRule="auto"/>
              <w:jc w:val="center"/>
              <w:rPr>
                <w:rFonts w:ascii="Times New Roman" w:hAnsi="Times New Roman" w:cs="Times New Roman"/>
                <w:b/>
                <w:sz w:val="24"/>
                <w:szCs w:val="24"/>
              </w:rPr>
            </w:pPr>
            <w:r w:rsidRPr="00F70574">
              <w:rPr>
                <w:rFonts w:ascii="Times New Roman" w:hAnsi="Times New Roman" w:cs="Times New Roman"/>
                <w:b/>
                <w:sz w:val="24"/>
                <w:szCs w:val="24"/>
              </w:rPr>
              <w:t>ПОСТАНОВЛЕНИЕ</w:t>
            </w:r>
          </w:p>
          <w:p w:rsidR="00F70574" w:rsidRPr="00F70574" w:rsidRDefault="00F70574" w:rsidP="00D176C8">
            <w:pPr>
              <w:widowControl w:val="0"/>
              <w:spacing w:after="0" w:line="240" w:lineRule="auto"/>
              <w:jc w:val="center"/>
              <w:rPr>
                <w:rFonts w:ascii="Times New Roman" w:hAnsi="Times New Roman" w:cs="Times New Roman"/>
                <w:sz w:val="24"/>
                <w:szCs w:val="24"/>
                <w:lang w:val="en-US"/>
              </w:rPr>
            </w:pPr>
          </w:p>
        </w:tc>
      </w:tr>
    </w:tbl>
    <w:p w:rsidR="00F70574" w:rsidRPr="00F70574" w:rsidRDefault="00F70574" w:rsidP="00F70574">
      <w:pPr>
        <w:jc w:val="center"/>
        <w:rPr>
          <w:rFonts w:ascii="Times New Roman" w:hAnsi="Times New Roman" w:cs="Times New Roman"/>
          <w:sz w:val="24"/>
          <w:szCs w:val="24"/>
          <w:lang w:val="en-US"/>
        </w:rPr>
      </w:pPr>
      <w:r w:rsidRPr="00F70574">
        <w:rPr>
          <w:rFonts w:ascii="Times New Roman" w:hAnsi="Times New Roman" w:cs="Times New Roman"/>
          <w:noProof/>
          <w:sz w:val="24"/>
          <w:szCs w:val="24"/>
          <w:lang w:eastAsia="ru-RU"/>
        </w:rPr>
        <w:drawing>
          <wp:anchor distT="0" distB="0" distL="0" distR="0" simplePos="0" relativeHeight="251664384" behindDoc="0" locked="0" layoutInCell="0" allowOverlap="1" wp14:anchorId="73EEFB67" wp14:editId="322F9C39">
            <wp:simplePos x="0" y="0"/>
            <wp:positionH relativeFrom="character">
              <wp:align>left</wp:align>
            </wp:positionH>
            <wp:positionV relativeFrom="line">
              <wp:posOffset>635</wp:posOffset>
            </wp:positionV>
            <wp:extent cx="2924175" cy="360045"/>
            <wp:effectExtent l="0" t="0" r="0" b="0"/>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F70574" w:rsidRPr="00F70574" w:rsidRDefault="00F70574" w:rsidP="00F70574">
      <w:pPr>
        <w:widowControl w:val="0"/>
        <w:spacing w:after="0"/>
        <w:rPr>
          <w:rFonts w:ascii="Times New Roman" w:hAnsi="Times New Roman" w:cs="Times New Roman"/>
          <w:sz w:val="24"/>
          <w:szCs w:val="24"/>
        </w:rPr>
      </w:pPr>
    </w:p>
    <w:p w:rsidR="00F70574" w:rsidRPr="00F70574" w:rsidRDefault="00F70574" w:rsidP="00F70574">
      <w:pPr>
        <w:widowControl w:val="0"/>
        <w:spacing w:after="0"/>
        <w:ind w:firstLine="567"/>
        <w:jc w:val="center"/>
        <w:rPr>
          <w:rFonts w:ascii="Times New Roman" w:hAnsi="Times New Roman" w:cs="Times New Roman"/>
          <w:sz w:val="24"/>
          <w:szCs w:val="24"/>
        </w:rPr>
      </w:pPr>
      <w:r w:rsidRPr="00F70574">
        <w:rPr>
          <w:rFonts w:ascii="Times New Roman" w:hAnsi="Times New Roman" w:cs="Times New Roman"/>
          <w:sz w:val="24"/>
          <w:szCs w:val="24"/>
        </w:rPr>
        <w:t xml:space="preserve">О признании жилого помещения пригодным для проживания </w:t>
      </w:r>
    </w:p>
    <w:p w:rsidR="00F70574" w:rsidRPr="00F70574" w:rsidRDefault="00F70574" w:rsidP="00F70574">
      <w:pPr>
        <w:widowControl w:val="0"/>
        <w:spacing w:after="0"/>
        <w:ind w:firstLine="567"/>
        <w:jc w:val="center"/>
        <w:rPr>
          <w:rFonts w:ascii="Times New Roman" w:eastAsia="DejaVu Sans" w:hAnsi="Times New Roman" w:cs="Times New Roman"/>
          <w:color w:val="000000"/>
          <w:kern w:val="2"/>
          <w:sz w:val="24"/>
          <w:szCs w:val="24"/>
        </w:rPr>
      </w:pPr>
    </w:p>
    <w:p w:rsidR="00F70574" w:rsidRPr="00F70574" w:rsidRDefault="00F70574" w:rsidP="00F705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F70574">
        <w:rPr>
          <w:rFonts w:ascii="Times New Roman" w:hAnsi="Times New Roman" w:cs="Times New Roman"/>
          <w:sz w:val="24"/>
          <w:szCs w:val="24"/>
        </w:rPr>
        <w:tab/>
        <w:t xml:space="preserve">В соответствии с Жилищным кодексом Российской Федерации, Федеральным законом от 06.10.2003 №131, 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основании заключений межведомственной комиссии 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руководствуясь Уставом муниципального образования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сельсовет Беляевского района Оренбургской области, заключением межведомственной комиссии </w:t>
      </w:r>
      <w:r w:rsidRPr="00F70574">
        <w:rPr>
          <w:rFonts w:ascii="Times New Roman" w:eastAsia="Times New Roman" w:hAnsi="Times New Roman" w:cs="Times New Roman"/>
          <w:sz w:val="24"/>
          <w:szCs w:val="24"/>
        </w:rPr>
        <w:t xml:space="preserve">об оценке соответствия помещения (многоквартирного дома) требованиям,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 территории муниципального образования </w:t>
      </w:r>
      <w:proofErr w:type="spellStart"/>
      <w:r w:rsidRPr="00F70574">
        <w:rPr>
          <w:rFonts w:ascii="Times New Roman" w:eastAsia="Times New Roman" w:hAnsi="Times New Roman" w:cs="Times New Roman"/>
          <w:sz w:val="24"/>
          <w:szCs w:val="24"/>
        </w:rPr>
        <w:t>Беляевский</w:t>
      </w:r>
      <w:proofErr w:type="spellEnd"/>
      <w:r w:rsidRPr="00F70574">
        <w:rPr>
          <w:rFonts w:ascii="Times New Roman" w:eastAsia="Times New Roman" w:hAnsi="Times New Roman" w:cs="Times New Roman"/>
          <w:sz w:val="24"/>
          <w:szCs w:val="24"/>
        </w:rPr>
        <w:t xml:space="preserve"> сельсовет и на основании заключение межведомственной комиссии Беляевского района от 19.06.2025 № 7:</w:t>
      </w:r>
    </w:p>
    <w:p w:rsidR="00F70574" w:rsidRPr="00F70574" w:rsidRDefault="00F70574" w:rsidP="00F70574">
      <w:pPr>
        <w:spacing w:after="0" w:line="240" w:lineRule="auto"/>
        <w:ind w:firstLine="567"/>
        <w:jc w:val="both"/>
        <w:rPr>
          <w:rFonts w:ascii="Times New Roman" w:hAnsi="Times New Roman" w:cs="Times New Roman"/>
          <w:sz w:val="24"/>
          <w:szCs w:val="24"/>
        </w:rPr>
      </w:pPr>
      <w:r w:rsidRPr="00F70574">
        <w:rPr>
          <w:rFonts w:ascii="Times New Roman" w:hAnsi="Times New Roman" w:cs="Times New Roman"/>
          <w:sz w:val="24"/>
          <w:szCs w:val="24"/>
        </w:rPr>
        <w:t xml:space="preserve">1. Признать пригодным для проживания жилой дом, расположенный по адресу: Оренбургская область,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район, с. Беляевка, ул. Первомайская, д.73.</w:t>
      </w:r>
    </w:p>
    <w:p w:rsidR="00F70574" w:rsidRPr="00F70574" w:rsidRDefault="00F70574" w:rsidP="00F70574">
      <w:pPr>
        <w:spacing w:after="0" w:line="240" w:lineRule="auto"/>
        <w:ind w:firstLine="567"/>
        <w:jc w:val="both"/>
        <w:rPr>
          <w:rFonts w:ascii="Times New Roman" w:hAnsi="Times New Roman" w:cs="Times New Roman"/>
          <w:sz w:val="24"/>
          <w:szCs w:val="24"/>
        </w:rPr>
      </w:pPr>
      <w:r w:rsidRPr="00F70574">
        <w:rPr>
          <w:rFonts w:ascii="Times New Roman" w:hAnsi="Times New Roman" w:cs="Times New Roman"/>
          <w:sz w:val="24"/>
          <w:szCs w:val="24"/>
        </w:rPr>
        <w:t>2. Контроль за исполнением настоящего постановления оставляю за собой.</w:t>
      </w:r>
    </w:p>
    <w:p w:rsidR="00F70574" w:rsidRPr="00F70574" w:rsidRDefault="00F70574" w:rsidP="00F70574">
      <w:pPr>
        <w:spacing w:after="0" w:line="240" w:lineRule="auto"/>
        <w:ind w:firstLine="567"/>
        <w:jc w:val="both"/>
        <w:rPr>
          <w:rFonts w:ascii="Times New Roman" w:hAnsi="Times New Roman" w:cs="Times New Roman"/>
          <w:sz w:val="24"/>
          <w:szCs w:val="24"/>
        </w:rPr>
      </w:pPr>
      <w:r w:rsidRPr="00F70574">
        <w:rPr>
          <w:rFonts w:ascii="Times New Roman" w:hAnsi="Times New Roman" w:cs="Times New Roman"/>
          <w:sz w:val="24"/>
          <w:szCs w:val="24"/>
        </w:rPr>
        <w:t xml:space="preserve">3. Настоящее постановление подлежит обязательному обнародованию и размещению на официальном сайте администрации муниципального образования </w:t>
      </w:r>
      <w:proofErr w:type="spellStart"/>
      <w:r w:rsidRPr="00F70574">
        <w:rPr>
          <w:rFonts w:ascii="Times New Roman" w:hAnsi="Times New Roman" w:cs="Times New Roman"/>
          <w:sz w:val="24"/>
          <w:szCs w:val="24"/>
        </w:rPr>
        <w:t>Беляевский</w:t>
      </w:r>
      <w:proofErr w:type="spellEnd"/>
      <w:r w:rsidRPr="00F70574">
        <w:rPr>
          <w:rFonts w:ascii="Times New Roman" w:hAnsi="Times New Roman" w:cs="Times New Roman"/>
          <w:sz w:val="24"/>
          <w:szCs w:val="24"/>
        </w:rPr>
        <w:t xml:space="preserve"> сельсовет Беляевского района Оренбургской области в информационно-телекоммуникационной сети «Интернет».</w:t>
      </w:r>
    </w:p>
    <w:p w:rsidR="00F70574" w:rsidRPr="00F70574" w:rsidRDefault="00F70574" w:rsidP="00F70574">
      <w:pPr>
        <w:tabs>
          <w:tab w:val="left" w:pos="4395"/>
        </w:tabs>
        <w:spacing w:after="0" w:line="240" w:lineRule="auto"/>
        <w:ind w:firstLine="567"/>
        <w:jc w:val="both"/>
        <w:rPr>
          <w:rFonts w:ascii="Times New Roman" w:hAnsi="Times New Roman" w:cs="Times New Roman"/>
          <w:sz w:val="24"/>
          <w:szCs w:val="24"/>
        </w:rPr>
      </w:pPr>
      <w:r w:rsidRPr="00F70574">
        <w:rPr>
          <w:rFonts w:ascii="Times New Roman" w:hAnsi="Times New Roman" w:cs="Times New Roman"/>
          <w:sz w:val="24"/>
          <w:szCs w:val="24"/>
        </w:rPr>
        <w:t>4. Настоящее постановление вступает в силу после его подписания.</w:t>
      </w:r>
    </w:p>
    <w:p w:rsidR="00F70574" w:rsidRPr="00F70574" w:rsidRDefault="00F70574" w:rsidP="00F70574">
      <w:pPr>
        <w:tabs>
          <w:tab w:val="left" w:pos="4395"/>
        </w:tabs>
        <w:jc w:val="both"/>
        <w:rPr>
          <w:rFonts w:ascii="Times New Roman" w:hAnsi="Times New Roman" w:cs="Times New Roman"/>
          <w:sz w:val="24"/>
          <w:szCs w:val="24"/>
        </w:rPr>
      </w:pPr>
    </w:p>
    <w:p w:rsidR="00F70574" w:rsidRPr="00F70574" w:rsidRDefault="00F70574" w:rsidP="00F70574">
      <w:pPr>
        <w:jc w:val="both"/>
        <w:rPr>
          <w:rFonts w:ascii="Times New Roman" w:hAnsi="Times New Roman" w:cs="Times New Roman"/>
          <w:sz w:val="24"/>
          <w:szCs w:val="24"/>
        </w:rPr>
      </w:pPr>
      <w:r w:rsidRPr="00F70574">
        <w:rPr>
          <w:rFonts w:ascii="Times New Roman" w:hAnsi="Times New Roman" w:cs="Times New Roman"/>
          <w:sz w:val="24"/>
          <w:szCs w:val="24"/>
        </w:rPr>
        <w:t xml:space="preserve">Глава муниципального образования                                                          </w:t>
      </w:r>
      <w:proofErr w:type="spellStart"/>
      <w:r w:rsidRPr="00F70574">
        <w:rPr>
          <w:rFonts w:ascii="Times New Roman" w:hAnsi="Times New Roman" w:cs="Times New Roman"/>
          <w:sz w:val="24"/>
          <w:szCs w:val="24"/>
        </w:rPr>
        <w:t>М.Х.Елешев</w:t>
      </w:r>
      <w:proofErr w:type="spellEnd"/>
    </w:p>
    <w:p w:rsidR="00F70574" w:rsidRPr="00F70574" w:rsidRDefault="00F70574" w:rsidP="00F70574">
      <w:pPr>
        <w:jc w:val="center"/>
        <w:rPr>
          <w:rFonts w:ascii="Times New Roman" w:hAnsi="Times New Roman" w:cs="Times New Roman"/>
          <w:sz w:val="24"/>
          <w:szCs w:val="24"/>
        </w:rPr>
      </w:pPr>
      <w:r w:rsidRPr="00F70574">
        <w:rPr>
          <w:rFonts w:ascii="Times New Roman" w:hAnsi="Times New Roman" w:cs="Times New Roman"/>
          <w:noProof/>
          <w:sz w:val="24"/>
          <w:szCs w:val="24"/>
          <w:lang w:eastAsia="ru-RU"/>
        </w:rPr>
        <w:drawing>
          <wp:anchor distT="0" distB="0" distL="0" distR="0" simplePos="0" relativeHeight="251663360" behindDoc="0" locked="0" layoutInCell="0" allowOverlap="1" wp14:anchorId="3A95FEA2" wp14:editId="2756662B">
            <wp:simplePos x="0" y="0"/>
            <wp:positionH relativeFrom="character">
              <wp:posOffset>-904875</wp:posOffset>
            </wp:positionH>
            <wp:positionV relativeFrom="paragraph">
              <wp:posOffset>25400</wp:posOffset>
            </wp:positionV>
            <wp:extent cx="2877185" cy="1080135"/>
            <wp:effectExtent l="0" t="0" r="0" b="5715"/>
            <wp:wrapNone/>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6" cstate="print"/>
                    <a:stretch>
                      <a:fillRect/>
                    </a:stretch>
                  </pic:blipFill>
                  <pic:spPr bwMode="auto">
                    <a:xfrm>
                      <a:off x="0" y="0"/>
                      <a:ext cx="2877185" cy="1080135"/>
                    </a:xfrm>
                    <a:prstGeom prst="rect">
                      <a:avLst/>
                    </a:prstGeom>
                  </pic:spPr>
                </pic:pic>
              </a:graphicData>
            </a:graphic>
          </wp:anchor>
        </w:drawing>
      </w:r>
    </w:p>
    <w:p w:rsidR="00F70574" w:rsidRPr="00F70574" w:rsidRDefault="00F70574" w:rsidP="00F70574">
      <w:pPr>
        <w:rPr>
          <w:rFonts w:ascii="Times New Roman" w:hAnsi="Times New Roman" w:cs="Times New Roman"/>
          <w:b/>
          <w:sz w:val="24"/>
          <w:szCs w:val="24"/>
          <w:u w:val="single"/>
        </w:rPr>
      </w:pPr>
    </w:p>
    <w:sectPr w:rsidR="00F70574" w:rsidRPr="00F705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DejaVu 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F4"/>
    <w:rsid w:val="00696C3E"/>
    <w:rsid w:val="00A408F4"/>
    <w:rsid w:val="00C13B4B"/>
    <w:rsid w:val="00F70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4087A"/>
  <w15:chartTrackingRefBased/>
  <w15:docId w15:val="{CEDA0F5E-68C4-4DB0-9749-4BDA581E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574"/>
    <w:pPr>
      <w:spacing w:line="256" w:lineRule="auto"/>
    </w:pPr>
  </w:style>
  <w:style w:type="paragraph" w:styleId="2">
    <w:name w:val="heading 2"/>
    <w:basedOn w:val="a"/>
    <w:next w:val="a"/>
    <w:link w:val="20"/>
    <w:uiPriority w:val="99"/>
    <w:qFormat/>
    <w:rsid w:val="00F70574"/>
    <w:pPr>
      <w:keepNext/>
      <w:overflowPunct w:val="0"/>
      <w:autoSpaceDE w:val="0"/>
      <w:autoSpaceDN w:val="0"/>
      <w:adjustRightInd w:val="0"/>
      <w:spacing w:after="0" w:line="240" w:lineRule="auto"/>
      <w:ind w:right="-908"/>
      <w:jc w:val="center"/>
      <w:textAlignment w:val="baseline"/>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Гиперссылка1"/>
    <w:basedOn w:val="a"/>
    <w:link w:val="a3"/>
    <w:rsid w:val="00F70574"/>
    <w:pPr>
      <w:spacing w:line="264" w:lineRule="auto"/>
    </w:pPr>
    <w:rPr>
      <w:rFonts w:eastAsia="Times New Roman" w:cs="Times New Roman"/>
      <w:color w:val="0563C1" w:themeColor="hyperlink"/>
      <w:szCs w:val="20"/>
      <w:u w:val="single"/>
      <w:lang w:eastAsia="ru-RU"/>
    </w:rPr>
  </w:style>
  <w:style w:type="character" w:styleId="a3">
    <w:name w:val="Hyperlink"/>
    <w:basedOn w:val="a0"/>
    <w:link w:val="1"/>
    <w:rsid w:val="00F70574"/>
    <w:rPr>
      <w:rFonts w:eastAsia="Times New Roman" w:cs="Times New Roman"/>
      <w:color w:val="0563C1" w:themeColor="hyperlink"/>
      <w:szCs w:val="20"/>
      <w:u w:val="single"/>
      <w:lang w:eastAsia="ru-RU"/>
    </w:rPr>
  </w:style>
  <w:style w:type="paragraph" w:customStyle="1" w:styleId="ConsPlusTitle">
    <w:name w:val="ConsPlusTitle"/>
    <w:uiPriority w:val="99"/>
    <w:qFormat/>
    <w:rsid w:val="00F70574"/>
    <w:pPr>
      <w:widowControl w:val="0"/>
      <w:suppressAutoHyphens/>
      <w:spacing w:after="0" w:line="240" w:lineRule="auto"/>
    </w:pPr>
    <w:rPr>
      <w:rFonts w:eastAsia="Times New Roman" w:cs="Calibri"/>
      <w:b/>
      <w:szCs w:val="20"/>
      <w:lang w:eastAsia="zh-CN"/>
    </w:rPr>
  </w:style>
  <w:style w:type="character" w:customStyle="1" w:styleId="20">
    <w:name w:val="Заголовок 2 Знак"/>
    <w:basedOn w:val="a0"/>
    <w:link w:val="2"/>
    <w:uiPriority w:val="99"/>
    <w:rsid w:val="00F70574"/>
    <w:rPr>
      <w:rFonts w:ascii="Times New Roman" w:eastAsia="Times New Roman" w:hAnsi="Times New Roman" w:cs="Times New Roman"/>
      <w:b/>
      <w:bCs/>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government.ru"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20</Pages>
  <Words>6918</Words>
  <Characters>39433</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2025-07-04T06:56:00Z</dcterms:created>
  <dcterms:modified xsi:type="dcterms:W3CDTF">2025-07-04T09:46:00Z</dcterms:modified>
</cp:coreProperties>
</file>