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23" w:rsidRPr="0044496B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0B6B48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19</w:t>
      </w:r>
      <w:r w:rsidR="00B40C23">
        <w:rPr>
          <w:rFonts w:ascii="Times New Roman" w:eastAsiaTheme="minorEastAsia" w:hAnsi="Times New Roman" w:cs="Times New Roman"/>
          <w:bCs/>
          <w:sz w:val="28"/>
        </w:rPr>
        <w:t>.0</w:t>
      </w:r>
      <w:r w:rsidR="00A76223">
        <w:rPr>
          <w:rFonts w:ascii="Times New Roman" w:eastAsiaTheme="minorEastAsia" w:hAnsi="Times New Roman" w:cs="Times New Roman"/>
          <w:bCs/>
          <w:sz w:val="28"/>
        </w:rPr>
        <w:t>4</w:t>
      </w:r>
      <w:r>
        <w:rPr>
          <w:rFonts w:ascii="Times New Roman" w:eastAsiaTheme="minorEastAsia" w:hAnsi="Times New Roman" w:cs="Times New Roman"/>
          <w:bCs/>
          <w:sz w:val="28"/>
        </w:rPr>
        <w:t>.2024 N 167</w:t>
      </w:r>
    </w:p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bookmarkEnd w:id="0"/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</w:p>
    <w:p w:rsidR="00B40C23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23" w:rsidRPr="001A2806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B40C23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2 слова «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52419,9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575,8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 слова «0,0 тыс. рублей» заменить словами «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223">
        <w:rPr>
          <w:rFonts w:ascii="Times New Roman" w:eastAsia="Times New Roman" w:hAnsi="Times New Roman" w:cs="Times New Roman"/>
          <w:sz w:val="28"/>
          <w:szCs w:val="28"/>
          <w:lang w:eastAsia="ru-RU"/>
        </w:rPr>
        <w:t>750,2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C23" w:rsidRDefault="00B40C23" w:rsidP="00B40C23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p w:rsidR="00B40C23" w:rsidRPr="001B113C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337A67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533"/>
      </w:tblGrid>
      <w:tr w:rsidR="00B40C23" w:rsidRPr="00D13CAF" w:rsidTr="00B40C23">
        <w:tc>
          <w:tcPr>
            <w:tcW w:w="5036" w:type="dxa"/>
            <w:hideMark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B40C23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0C23" w:rsidRPr="00D13CAF" w:rsidRDefault="00B40C23" w:rsidP="00B40C2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С.В.Варфаламеева</w:t>
            </w:r>
            <w:proofErr w:type="spellEnd"/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B40C23" w:rsidRPr="00337A67" w:rsidTr="00B40C23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0B6B48" w:rsidP="00A76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7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C23" w:rsidRPr="00337A67" w:rsidTr="00B40C23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A7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A7622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A762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55750,2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C23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B40C23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B40C23" w:rsidRPr="00337A67" w:rsidTr="00B40C23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="-996" w:tblpY="1"/>
              <w:tblOverlap w:val="never"/>
              <w:tblW w:w="16358" w:type="dxa"/>
              <w:tblLayout w:type="fixed"/>
              <w:tblLook w:val="04A0" w:firstRow="1" w:lastRow="0" w:firstColumn="1" w:lastColumn="0" w:noHBand="0" w:noVBand="1"/>
            </w:tblPr>
            <w:tblGrid>
              <w:gridCol w:w="16358"/>
            </w:tblGrid>
            <w:tr w:rsidR="00A74766" w:rsidRPr="00337A67" w:rsidTr="00AB292D">
              <w:trPr>
                <w:trHeight w:val="551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</w:t>
                  </w:r>
                  <w:proofErr w:type="gram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решению  Совета</w:t>
                  </w:r>
                  <w:proofErr w:type="gram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депутатов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образования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</w:p>
              </w:tc>
            </w:tr>
            <w:tr w:rsidR="00A74766" w:rsidRPr="00337A67" w:rsidTr="00AB292D">
              <w:trPr>
                <w:trHeight w:val="133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766" w:rsidRPr="00337A67" w:rsidRDefault="000B6B48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19.04.2024 № 167</w:t>
                  </w:r>
                </w:p>
              </w:tc>
            </w:tr>
            <w:tr w:rsidR="00A74766" w:rsidRPr="00337A67" w:rsidTr="00AB292D">
              <w:trPr>
                <w:trHeight w:val="133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4766" w:rsidRPr="00AE3A5E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604" w:type="dxa"/>
              <w:tblInd w:w="1111" w:type="dxa"/>
              <w:tblLayout w:type="fixed"/>
              <w:tblLook w:val="01E0" w:firstRow="1" w:lastRow="1" w:firstColumn="1" w:lastColumn="1" w:noHBand="0" w:noVBand="0"/>
            </w:tblPr>
            <w:tblGrid>
              <w:gridCol w:w="2992"/>
              <w:gridCol w:w="7793"/>
              <w:gridCol w:w="1273"/>
              <w:gridCol w:w="1273"/>
              <w:gridCol w:w="1273"/>
            </w:tblGrid>
            <w:tr w:rsidR="00A74766" w:rsidRPr="00A74766" w:rsidTr="00A74766">
              <w:trPr>
                <w:tblHeader/>
              </w:trPr>
              <w:tc>
                <w:tcPr>
                  <w:tcW w:w="2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325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1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325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12637A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Код бюджетной классификации Российской Федерации</w:t>
                        </w:r>
                      </w:p>
                    </w:tc>
                  </w:tr>
                </w:tbl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677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7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67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12637A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кода дохода бюджета</w:t>
                        </w:r>
                      </w:p>
                    </w:tc>
                  </w:tr>
                </w:tbl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12637A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2024 год</w:t>
                        </w:r>
                      </w:p>
                    </w:tc>
                  </w:tr>
                </w:tbl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12637A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</w:tr>
                </w:tbl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A74766" w:rsidRPr="00A74766" w:rsidTr="00AB292D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A74766" w:rsidRPr="00A74766" w:rsidRDefault="00A74766" w:rsidP="0012637A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</w:tr>
                </w:tbl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17 035,9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17 066,5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17 828,1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10 852,0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11 453,0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12 082,0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10 852,0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11 453,0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12 082,0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10 682,0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11 275,0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11 897,0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      </w: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10 682,0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11 275,0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11 897,0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1 01 02020 01 0000 110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3 314,7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3 385,3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3 513,9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3 314,7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3 385,3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3 513,9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1 728,8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1 761,2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1 830,4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1 728,8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1 761,2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1 830,4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      </w: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1 792,5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1 833,7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1 906,4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1 03 02251 01 0000 110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1 792,5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1 833,7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1 906,4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-214,8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-218,9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-232,6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-214,8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-218,9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-232,6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2 296,0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1 807,0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1 807,0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1 06 01030 10 1000 110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1 869,0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1 370,0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1 370,0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      </w: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1 11 05020 00 0000 120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1 16 02000 02 0000 140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1 16 02020 02 0000 140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37 539,9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31 928,2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12 457,4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37 539,9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31 928,2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12 457,4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14 140,9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11 046,0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10 873,0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13 176,0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10 645,0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10 472,0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2 02 15001 10 0000 150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13 176,0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10 645,0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10 472,0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23 013,4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20 456,9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20 000,0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20 000,0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2 155,9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2 155,9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2 02 29999 10 9000 150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2 02 35118 00 0000 150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A74766" w:rsidRPr="00A74766" w:rsidTr="00A7476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54 575,8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48 994,7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4766" w:rsidRPr="00A74766" w:rsidRDefault="00A74766" w:rsidP="0012637A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30 285,5</w:t>
                  </w:r>
                </w:p>
              </w:tc>
            </w:tr>
          </w:tbl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40C23" w:rsidRPr="00337A67" w:rsidRDefault="0012637A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12637A" w:rsidP="00A76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19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№ 167</w:t>
            </w:r>
          </w:p>
        </w:tc>
      </w:tr>
    </w:tbl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1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2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B40C23" w:rsidRDefault="00B40C23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851"/>
        <w:gridCol w:w="992"/>
        <w:gridCol w:w="1276"/>
        <w:gridCol w:w="1559"/>
        <w:gridCol w:w="1701"/>
      </w:tblGrid>
      <w:tr w:rsidR="00B40C23" w:rsidRPr="00F55E18" w:rsidTr="00A74766">
        <w:trPr>
          <w:tblHeader/>
        </w:trPr>
        <w:tc>
          <w:tcPr>
            <w:tcW w:w="836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40C23" w:rsidRPr="00F55E18" w:rsidTr="00B40C23">
              <w:trPr>
                <w:trHeight w:val="420"/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40C23" w:rsidRPr="00F55E18" w:rsidTr="00B40C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17"/>
            </w:tblGrid>
            <w:tr w:rsidR="00B40C23" w:rsidRPr="00F55E18" w:rsidTr="00B40C23">
              <w:trPr>
                <w:jc w:val="center"/>
              </w:trPr>
              <w:tc>
                <w:tcPr>
                  <w:tcW w:w="12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6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21"/>
            </w:tblGrid>
            <w:tr w:rsidR="00B40C23" w:rsidRPr="00F55E18" w:rsidTr="008C006B">
              <w:trPr>
                <w:jc w:val="center"/>
              </w:trPr>
              <w:tc>
                <w:tcPr>
                  <w:tcW w:w="16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724" w:type="dxa"/>
        <w:tblInd w:w="276" w:type="dxa"/>
        <w:tblLayout w:type="fixed"/>
        <w:tblLook w:val="01E0" w:firstRow="1" w:lastRow="1" w:firstColumn="1" w:lastColumn="1" w:noHBand="0" w:noVBand="0"/>
      </w:tblPr>
      <w:tblGrid>
        <w:gridCol w:w="8357"/>
        <w:gridCol w:w="851"/>
        <w:gridCol w:w="989"/>
        <w:gridCol w:w="1273"/>
        <w:gridCol w:w="1556"/>
        <w:gridCol w:w="1698"/>
      </w:tblGrid>
      <w:tr w:rsidR="00B40C23" w:rsidRPr="00F55E18" w:rsidTr="00A74766">
        <w:trPr>
          <w:tblHeader/>
        </w:trPr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40C23" w:rsidRPr="00F55E18" w:rsidTr="00B40C23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40C23" w:rsidRPr="00F55E18" w:rsidTr="00B40C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49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1"/>
            </w:tblGrid>
            <w:tr w:rsidR="00B40C23" w:rsidRPr="00F55E18" w:rsidTr="008C006B">
              <w:trPr>
                <w:jc w:val="center"/>
              </w:trPr>
              <w:tc>
                <w:tcPr>
                  <w:tcW w:w="14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F55E18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F55E18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F55E18" w:rsidRDefault="00B40C23" w:rsidP="00B40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B40C23" w:rsidRPr="00F55E18" w:rsidRDefault="00B40C23" w:rsidP="00B40C23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3684" w:rsidRPr="00F55E18" w:rsidTr="00A74766">
        <w:trPr>
          <w:trHeight w:val="399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6 932,1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7 177,0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7 177,0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31 289,8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26 536,0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7 537,4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F63684" w:rsidRPr="00F55E18" w:rsidTr="00A7476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8B2B63" w:rsidRDefault="00F63684" w:rsidP="00F6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48 994,7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A76223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30 285,5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B40C23" w:rsidRPr="00337A67" w:rsidTr="00B40C23">
        <w:trPr>
          <w:trHeight w:val="439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06B" w:rsidRDefault="008C006B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  Совета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106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Default="000B6B48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19 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76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 № 167</w:t>
            </w:r>
          </w:p>
          <w:p w:rsidR="00B40C23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8C006B" w:rsidRDefault="008C006B" w:rsidP="008C0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тыс. руб.</w:t>
            </w:r>
          </w:p>
          <w:p w:rsidR="00B40C23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Overlap w:val="never"/>
        <w:tblW w:w="14449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6558"/>
        <w:gridCol w:w="681"/>
        <w:gridCol w:w="681"/>
        <w:gridCol w:w="539"/>
        <w:gridCol w:w="2037"/>
        <w:gridCol w:w="542"/>
        <w:gridCol w:w="1137"/>
        <w:gridCol w:w="1143"/>
        <w:gridCol w:w="1131"/>
      </w:tblGrid>
      <w:tr w:rsidR="00B40C23" w:rsidRPr="00B40C23" w:rsidTr="00F63684">
        <w:trPr>
          <w:tblHeader/>
        </w:trPr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40C23" w:rsidRPr="00B40C23" w:rsidTr="00B40C23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40C23" w:rsidRPr="00B40C23" w:rsidTr="00B40C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 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резерва финансовый и материальных ресурсов для ликвидации чрезвычайных ситуаций, со финансирование </w:t>
            </w: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в области защиты населения и территорий от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озеленению территории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rPr>
          <w:trHeight w:val="1526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40C23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40C23" w:rsidRPr="00B40C23" w:rsidTr="00F63684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F613F2" w:rsidRDefault="00F63684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F613F2"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48 994,7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30 285,5</w:t>
            </w:r>
          </w:p>
        </w:tc>
      </w:tr>
    </w:tbl>
    <w:p w:rsidR="00B40C23" w:rsidRDefault="00B40C23" w:rsidP="00B40C23"/>
    <w:p w:rsidR="00B40C23" w:rsidRPr="00B40C23" w:rsidRDefault="00B40C23" w:rsidP="00B40C23"/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5D0D60" w:rsidRPr="00337A67" w:rsidRDefault="000B6B48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5D0D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5D0D60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C23" w:rsidRPr="00B40C23" w:rsidRDefault="00B40C23" w:rsidP="00B40C23"/>
    <w:p w:rsidR="00B40C23" w:rsidRDefault="00B40C23" w:rsidP="00B40C23"/>
    <w:p w:rsidR="00B40C23" w:rsidRDefault="00B40C23" w:rsidP="00B40C23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5B7B96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Style w:val="ac"/>
        <w:tblW w:w="14560" w:type="dxa"/>
        <w:tblInd w:w="-6" w:type="dxa"/>
        <w:tblLook w:val="04A0" w:firstRow="1" w:lastRow="0" w:firstColumn="1" w:lastColumn="0" w:noHBand="0" w:noVBand="1"/>
      </w:tblPr>
      <w:tblGrid>
        <w:gridCol w:w="6512"/>
        <w:gridCol w:w="1055"/>
        <w:gridCol w:w="926"/>
        <w:gridCol w:w="926"/>
        <w:gridCol w:w="2333"/>
        <w:gridCol w:w="1042"/>
        <w:gridCol w:w="1766"/>
      </w:tblGrid>
      <w:tr w:rsidR="00EB0EFA" w:rsidTr="00EB0EFA"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tbl>
            <w:tblPr>
              <w:tblOverlap w:val="never"/>
              <w:tblW w:w="564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5D0D60" w:rsidRPr="00B40C23" w:rsidTr="00F63684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D0D60" w:rsidRPr="00B40C23" w:rsidTr="00F6368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5D0D60" w:rsidRPr="00B40C23" w:rsidTr="00F6368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AB292D" w:rsidRDefault="00AB292D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6126F3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+209,5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6126F3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+209,5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+2 399,6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+2 399,6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6126F3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rPr>
          <w:trHeight w:val="918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Pr="00EB0EFA" w:rsidRDefault="00EB0EFA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5D0D60" w:rsidRDefault="006126F3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3330,3</w:t>
            </w:r>
          </w:p>
        </w:tc>
      </w:tr>
    </w:tbl>
    <w:p w:rsidR="00B40C23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40C23" w:rsidRDefault="000B6B48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B40C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B40C23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tbl>
      <w:tblPr>
        <w:tblOverlap w:val="never"/>
        <w:tblW w:w="1459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6650"/>
        <w:gridCol w:w="712"/>
        <w:gridCol w:w="712"/>
        <w:gridCol w:w="1984"/>
        <w:gridCol w:w="851"/>
        <w:gridCol w:w="1276"/>
        <w:gridCol w:w="1278"/>
        <w:gridCol w:w="1134"/>
      </w:tblGrid>
      <w:tr w:rsidR="00B40C23" w:rsidRPr="00134BE4" w:rsidTr="00F0290B">
        <w:trPr>
          <w:tblHeader/>
        </w:trPr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40C23" w:rsidRPr="009C544E" w:rsidTr="00B40C23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rPr>
                <w:b/>
                <w:sz w:val="24"/>
                <w:szCs w:val="24"/>
              </w:rPr>
            </w:pPr>
          </w:p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9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04"/>
            </w:tblGrid>
            <w:tr w:rsidR="00B40C23" w:rsidRPr="009C544E" w:rsidTr="00B40C23">
              <w:trPr>
                <w:jc w:val="center"/>
              </w:trPr>
              <w:tc>
                <w:tcPr>
                  <w:tcW w:w="19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9C544E" w:rsidTr="00B40C23"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9C544E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2024 год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9C544E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2025 год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9C544E" w:rsidRDefault="00B40C23" w:rsidP="00B40C23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9C544E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9C544E" w:rsidRDefault="00B40C23" w:rsidP="00B40C23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2026 год</w:t>
                  </w:r>
                </w:p>
              </w:tc>
            </w:tr>
          </w:tbl>
          <w:p w:rsidR="00B40C23" w:rsidRPr="009C544E" w:rsidRDefault="00B40C23" w:rsidP="00B40C23">
            <w:pPr>
              <w:spacing w:line="1" w:lineRule="auto"/>
              <w:jc w:val="center"/>
              <w:rPr>
                <w:b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rPr>
          <w:trHeight w:val="773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40C23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990A94" w:rsidRDefault="00B40C23" w:rsidP="00B40C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резерва финансовый и материальных ресурсов для ликвидации чрезвычайных ситуаций, со финансирование 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в области защиты населения и территорий от чрезвычайных ситуаций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0290B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F6368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290B" w:rsidRPr="00990A94" w:rsidRDefault="00F0290B" w:rsidP="00F0290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F613F2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F6368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13F2" w:rsidRPr="00990A94" w:rsidRDefault="00F613F2" w:rsidP="00F613F2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754AAC" w:rsidRDefault="00754AAC" w:rsidP="0075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754AAC" w:rsidRDefault="00754AAC" w:rsidP="0075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F6368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754AAC" w:rsidRPr="00990A94" w:rsidTr="00F0290B">
        <w:trPr>
          <w:trHeight w:val="74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A76223">
        <w:trPr>
          <w:trHeight w:val="872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754AAC" w:rsidRDefault="00754AAC" w:rsidP="0075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754AAC" w:rsidRPr="00990A9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754AAC" w:rsidRPr="00134BE4" w:rsidTr="00F0290B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C544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53 594,3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C544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48 994,7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C544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30 285,5</w:t>
            </w:r>
          </w:p>
        </w:tc>
      </w:tr>
    </w:tbl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6455C4" w:rsidRDefault="000B6B48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6455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6455C4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направлениям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851"/>
        <w:gridCol w:w="850"/>
        <w:gridCol w:w="851"/>
        <w:gridCol w:w="1276"/>
        <w:gridCol w:w="1134"/>
        <w:gridCol w:w="1275"/>
      </w:tblGrid>
      <w:tr w:rsidR="006455C4" w:rsidRPr="00990A94" w:rsidTr="00F613F2">
        <w:trPr>
          <w:tblHeader/>
        </w:trPr>
        <w:tc>
          <w:tcPr>
            <w:tcW w:w="68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6455C4" w:rsidRPr="00990A94" w:rsidTr="008C006B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455C4" w:rsidRPr="00990A94" w:rsidTr="008C006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77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76"/>
            </w:tblGrid>
            <w:tr w:rsidR="006455C4" w:rsidRPr="00990A94" w:rsidTr="008C006B">
              <w:trPr>
                <w:jc w:val="center"/>
              </w:trPr>
              <w:tc>
                <w:tcPr>
                  <w:tcW w:w="7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4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3"/>
            </w:tblGrid>
            <w:tr w:rsidR="006455C4" w:rsidRPr="00990A94" w:rsidTr="008C006B">
              <w:trPr>
                <w:jc w:val="center"/>
              </w:trPr>
              <w:tc>
                <w:tcPr>
                  <w:tcW w:w="14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3" w:name="__bookmark_2"/>
      <w:bookmarkEnd w:id="3"/>
    </w:p>
    <w:tbl>
      <w:tblPr>
        <w:tblOverlap w:val="never"/>
        <w:tblW w:w="14754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6807"/>
        <w:gridCol w:w="1704"/>
        <w:gridCol w:w="854"/>
        <w:gridCol w:w="853"/>
        <w:gridCol w:w="851"/>
        <w:gridCol w:w="1276"/>
        <w:gridCol w:w="1134"/>
        <w:gridCol w:w="1275"/>
      </w:tblGrid>
      <w:tr w:rsidR="006455C4" w:rsidRPr="00990A94" w:rsidTr="00754AAC">
        <w:trPr>
          <w:tblHeader/>
        </w:trPr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6455C4" w:rsidRPr="00990A94" w:rsidTr="008C006B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455C4" w:rsidRPr="00990A94" w:rsidTr="008C006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6455C4" w:rsidRPr="00990A94" w:rsidTr="008C006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55C4" w:rsidRPr="00990A94" w:rsidRDefault="006455C4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455C4" w:rsidRPr="00990A94" w:rsidTr="008C006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55C4" w:rsidRPr="00990A94" w:rsidRDefault="006455C4" w:rsidP="008C00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</w:tbl>
          <w:p w:rsidR="006455C4" w:rsidRPr="00990A94" w:rsidRDefault="006455C4" w:rsidP="008C006B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54 484,6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754AAC" w:rsidRPr="00990A94" w:rsidTr="00A76223">
        <w:trPr>
          <w:trHeight w:val="302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захоронению граждан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направление на реализацию приоритетных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754AAC" w:rsidRPr="00990A94" w:rsidTr="00754AAC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4F64DE" w:rsidRDefault="00754AAC" w:rsidP="00754AA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4AAC" w:rsidRPr="00990A94" w:rsidRDefault="00754AAC" w:rsidP="00754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</w:tbl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Перечень иных межбюджетных трансфертов из бюджета муниципального поселения , </w:t>
      </w:r>
    </w:p>
    <w:p w:rsidR="009C544E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перечисляемых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в районный бюджет на исполнение переданных полномочий на основании </w:t>
      </w:r>
    </w:p>
    <w:p w:rsidR="009C544E" w:rsidRPr="00337A67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заключенных соглашений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 и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годов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647"/>
        <w:gridCol w:w="2126"/>
        <w:gridCol w:w="1560"/>
        <w:gridCol w:w="2409"/>
      </w:tblGrid>
      <w:tr w:rsidR="009C544E" w:rsidRPr="00337A67" w:rsidTr="009C544E">
        <w:trPr>
          <w:trHeight w:val="105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  <w:lang w:eastAsia="ru-RU"/>
              </w:rPr>
              <w:t>Наименование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C544E" w:rsidRPr="00337A67" w:rsidTr="009C544E">
        <w:trPr>
          <w:trHeight w:val="52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8C006B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5763,9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</w:tr>
      <w:tr w:rsidR="009C544E" w:rsidRPr="00337A67" w:rsidTr="009C544E">
        <w:trPr>
          <w:trHeight w:val="22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4E" w:rsidRPr="00EC5311" w:rsidRDefault="009C544E" w:rsidP="008C006B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EC5311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</w:tr>
      <w:tr w:rsidR="009C544E" w:rsidRPr="00337A67" w:rsidTr="009C544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8C006B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6000,8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</w:tr>
    </w:tbl>
    <w:p w:rsidR="009C544E" w:rsidRP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91D2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C544E" w:rsidRPr="00337A67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62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167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дорожного </w:t>
      </w:r>
      <w:proofErr w:type="gram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  администрации</w:t>
      </w:r>
      <w:proofErr w:type="gram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</w:t>
      </w:r>
      <w:proofErr w:type="spell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</w:t>
      </w:r>
      <w:proofErr w:type="spell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плановый </w:t>
      </w:r>
    </w:p>
    <w:p w:rsidR="00E91D25" w:rsidRPr="00337A67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709"/>
        <w:gridCol w:w="709"/>
        <w:gridCol w:w="1701"/>
        <w:gridCol w:w="992"/>
        <w:gridCol w:w="1134"/>
        <w:gridCol w:w="1134"/>
        <w:gridCol w:w="1559"/>
      </w:tblGrid>
      <w:tr w:rsidR="00E91D25" w:rsidRPr="00337A67" w:rsidTr="00A76223">
        <w:trPr>
          <w:trHeight w:val="433"/>
        </w:trPr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A76223" w:rsidRPr="00337A67" w:rsidTr="00A76223">
        <w:trPr>
          <w:trHeight w:val="47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A76223" w:rsidRPr="00337A67" w:rsidTr="00A76223">
        <w:trPr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A76223" w:rsidRPr="00337A67" w:rsidTr="00A76223">
        <w:trPr>
          <w:trHeight w:val="2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Pr="00B40C23" w:rsidRDefault="00B40C23" w:rsidP="00B40C23">
      <w:pPr>
        <w:jc w:val="center"/>
      </w:pPr>
    </w:p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B6B48"/>
    <w:rsid w:val="0012637A"/>
    <w:rsid w:val="004F64DE"/>
    <w:rsid w:val="00551192"/>
    <w:rsid w:val="005B3112"/>
    <w:rsid w:val="005B7B96"/>
    <w:rsid w:val="005D0D60"/>
    <w:rsid w:val="006126F3"/>
    <w:rsid w:val="006326E4"/>
    <w:rsid w:val="006455C4"/>
    <w:rsid w:val="00754AAC"/>
    <w:rsid w:val="008220BD"/>
    <w:rsid w:val="008C006B"/>
    <w:rsid w:val="008C1DB6"/>
    <w:rsid w:val="00986904"/>
    <w:rsid w:val="009C544E"/>
    <w:rsid w:val="00A74766"/>
    <w:rsid w:val="00A76223"/>
    <w:rsid w:val="00AB292D"/>
    <w:rsid w:val="00AE3A5E"/>
    <w:rsid w:val="00B40C23"/>
    <w:rsid w:val="00E91D25"/>
    <w:rsid w:val="00EB0EFA"/>
    <w:rsid w:val="00F0290B"/>
    <w:rsid w:val="00F613F2"/>
    <w:rsid w:val="00F6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E623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D870-7460-44F4-B89C-2DDB072E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65</Pages>
  <Words>12173</Words>
  <Characters>69392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16</cp:revision>
  <cp:lastPrinted>2024-04-21T08:42:00Z</cp:lastPrinted>
  <dcterms:created xsi:type="dcterms:W3CDTF">2024-03-12T05:56:00Z</dcterms:created>
  <dcterms:modified xsi:type="dcterms:W3CDTF">2024-04-21T09:14:00Z</dcterms:modified>
</cp:coreProperties>
</file>