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6090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6090D">
        <w:trPr>
          <w:cantSplit/>
          <w:trHeight w:val="1190"/>
        </w:trPr>
        <w:tc>
          <w:tcPr>
            <w:tcW w:w="9072" w:type="dxa"/>
            <w:vAlign w:val="bottom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090D" w:rsidRDefault="001D0C94">
      <w:pPr>
        <w:tabs>
          <w:tab w:val="left" w:pos="36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6090D" w:rsidRDefault="0046090D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46090D" w:rsidRDefault="0046090D">
      <w:pPr>
        <w:pStyle w:val="a7"/>
        <w:spacing w:after="0"/>
      </w:pPr>
    </w:p>
    <w:p w:rsidR="0046090D" w:rsidRDefault="001D0C9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Об    утверждении    плана   мероприятий</w:t>
      </w:r>
    </w:p>
    <w:p w:rsidR="0046090D" w:rsidRDefault="001D0C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 консолидации     бюджетных     средств</w:t>
      </w:r>
    </w:p>
    <w:p w:rsidR="0046090D" w:rsidRDefault="001D0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      оптимизации    бюджетных   </w:t>
      </w:r>
      <w:r>
        <w:rPr>
          <w:sz w:val="28"/>
          <w:szCs w:val="28"/>
        </w:rPr>
        <w:t>расходов</w:t>
      </w:r>
    </w:p>
    <w:p w:rsidR="0046090D" w:rsidRDefault="001D0C9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Беляевский</w:t>
      </w:r>
    </w:p>
    <w:p w:rsidR="0046090D" w:rsidRDefault="001D0C9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сельсовет на 2026–2030 годы</w:t>
      </w:r>
    </w:p>
    <w:p w:rsidR="0046090D" w:rsidRDefault="001D0C94">
      <w:pPr>
        <w:pStyle w:val="ab"/>
        <w:ind w:left="360" w:hanging="360"/>
        <w:jc w:val="both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</w:p>
    <w:p w:rsidR="0046090D" w:rsidRDefault="001D0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устойчивости бюджетной системы муниципального образования Беляевский сельсовет: </w:t>
      </w:r>
    </w:p>
    <w:p w:rsidR="0046090D" w:rsidRDefault="001D0C94">
      <w:pPr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консолидации бюджетных средств и оптимиз</w:t>
      </w:r>
      <w:r>
        <w:rPr>
          <w:sz w:val="28"/>
          <w:szCs w:val="28"/>
        </w:rPr>
        <w:t xml:space="preserve">ации бюджетных расходов муниципального образования Беляевский  сельсовет на 2026–2030 годы (далее – план) согласно приложению. </w:t>
      </w:r>
    </w:p>
    <w:p w:rsidR="0046090D" w:rsidRDefault="001D0C9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eastAsia="Arial Unicode MS"/>
          <w:color w:val="000000"/>
          <w:kern w:val="2"/>
          <w:sz w:val="28"/>
          <w:szCs w:val="28"/>
          <w:lang w:bidi="en-US"/>
        </w:rPr>
        <w:t>.</w:t>
      </w:r>
      <w:proofErr w:type="gramStart"/>
      <w:r>
        <w:rPr>
          <w:rFonts w:eastAsia="Arial Unicode MS"/>
          <w:color w:val="000000"/>
          <w:kern w:val="2"/>
          <w:sz w:val="28"/>
          <w:szCs w:val="28"/>
          <w:lang w:bidi="en-US"/>
        </w:rPr>
        <w:t>Контроль за</w:t>
      </w:r>
      <w:proofErr w:type="gramEnd"/>
      <w:r>
        <w:rPr>
          <w:rFonts w:eastAsia="Arial Unicode MS"/>
          <w:color w:val="000000"/>
          <w:kern w:val="2"/>
          <w:sz w:val="28"/>
          <w:szCs w:val="28"/>
          <w:lang w:bidi="en-US"/>
        </w:rPr>
        <w:t xml:space="preserve"> исполнением настоящего распоряжения оставляю за собой.</w:t>
      </w:r>
    </w:p>
    <w:p w:rsidR="0046090D" w:rsidRDefault="001D0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Постановлениевступает</w:t>
      </w:r>
      <w:proofErr w:type="spellEnd"/>
      <w:r>
        <w:rPr>
          <w:sz w:val="28"/>
          <w:szCs w:val="28"/>
        </w:rPr>
        <w:t xml:space="preserve"> в силу после его подписания.</w:t>
      </w: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1D0C94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 xml:space="preserve">ава администрации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:rsidR="0046090D" w:rsidRDefault="0046090D">
      <w:pPr>
        <w:jc w:val="center"/>
        <w:rPr>
          <w:sz w:val="16"/>
          <w:szCs w:val="16"/>
        </w:rPr>
      </w:pPr>
    </w:p>
    <w:p w:rsidR="0046090D" w:rsidRDefault="0046090D">
      <w:pPr>
        <w:jc w:val="center"/>
        <w:rPr>
          <w:sz w:val="16"/>
          <w:szCs w:val="16"/>
        </w:rPr>
      </w:pPr>
    </w:p>
    <w:p w:rsidR="0046090D" w:rsidRDefault="0046090D">
      <w:pPr>
        <w:jc w:val="center"/>
        <w:rPr>
          <w:sz w:val="16"/>
          <w:szCs w:val="16"/>
        </w:rPr>
      </w:pPr>
    </w:p>
    <w:p w:rsidR="0046090D" w:rsidRDefault="0046090D">
      <w:pPr>
        <w:rPr>
          <w:sz w:val="16"/>
          <w:szCs w:val="16"/>
        </w:rPr>
      </w:pPr>
    </w:p>
    <w:p w:rsidR="0046090D" w:rsidRDefault="0046090D">
      <w:pPr>
        <w:jc w:val="center"/>
        <w:rPr>
          <w:sz w:val="16"/>
          <w:szCs w:val="16"/>
        </w:rPr>
      </w:pPr>
    </w:p>
    <w:p w:rsidR="0046090D" w:rsidRDefault="001D0C94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46090D">
      <w:pPr>
        <w:jc w:val="both"/>
        <w:rPr>
          <w:sz w:val="28"/>
          <w:szCs w:val="28"/>
        </w:rPr>
      </w:pPr>
    </w:p>
    <w:p w:rsidR="0046090D" w:rsidRDefault="001D0C94">
      <w:pPr>
        <w:pStyle w:val="a5"/>
        <w:rPr>
          <w:sz w:val="28"/>
          <w:szCs w:val="28"/>
        </w:rPr>
      </w:pPr>
      <w:r>
        <w:rPr>
          <w:sz w:val="28"/>
        </w:rPr>
        <w:t xml:space="preserve">Разослано: районный финансовый отдел, </w:t>
      </w:r>
      <w:r>
        <w:rPr>
          <w:sz w:val="28"/>
          <w:szCs w:val="28"/>
        </w:rPr>
        <w:t xml:space="preserve">прокурору,  в дело.           </w:t>
      </w:r>
    </w:p>
    <w:p w:rsidR="0046090D" w:rsidRDefault="0046090D">
      <w:pPr>
        <w:pStyle w:val="a7"/>
        <w:ind w:left="0"/>
        <w:jc w:val="both"/>
      </w:pPr>
    </w:p>
    <w:p w:rsidR="0046090D" w:rsidRDefault="0046090D">
      <w:pPr>
        <w:sectPr w:rsidR="0046090D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</w:p>
    <w:tbl>
      <w:tblPr>
        <w:tblW w:w="5000" w:type="pct"/>
        <w:tblInd w:w="108" w:type="dxa"/>
        <w:tblLayout w:type="fixed"/>
        <w:tblLook w:val="00A0"/>
      </w:tblPr>
      <w:tblGrid>
        <w:gridCol w:w="766"/>
        <w:gridCol w:w="3061"/>
        <w:gridCol w:w="1847"/>
        <w:gridCol w:w="1609"/>
        <w:gridCol w:w="2074"/>
        <w:gridCol w:w="989"/>
        <w:gridCol w:w="737"/>
        <w:gridCol w:w="936"/>
        <w:gridCol w:w="725"/>
        <w:gridCol w:w="236"/>
        <w:gridCol w:w="651"/>
        <w:gridCol w:w="212"/>
        <w:gridCol w:w="471"/>
        <w:gridCol w:w="236"/>
        <w:gridCol w:w="236"/>
      </w:tblGrid>
      <w:tr w:rsidR="0046090D">
        <w:trPr>
          <w:trHeight w:val="2412"/>
        </w:trPr>
        <w:tc>
          <w:tcPr>
            <w:tcW w:w="12784" w:type="dxa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ind w:firstLine="963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Приложение 1</w:t>
            </w:r>
          </w:p>
          <w:p w:rsidR="0046090D" w:rsidRDefault="001D0C94">
            <w:pPr>
              <w:widowControl w:val="0"/>
              <w:spacing w:line="276" w:lineRule="auto"/>
              <w:ind w:firstLine="963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46090D" w:rsidRDefault="00B772D0">
            <w:pPr>
              <w:widowControl w:val="0"/>
              <w:spacing w:line="276" w:lineRule="auto"/>
              <w:ind w:firstLine="963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15.01.2026 № 2</w:t>
            </w:r>
            <w:r w:rsidR="001D0C94">
              <w:rPr>
                <w:sz w:val="28"/>
                <w:szCs w:val="28"/>
                <w:lang w:eastAsia="en-US"/>
              </w:rPr>
              <w:t>-п</w:t>
            </w:r>
          </w:p>
          <w:p w:rsidR="0046090D" w:rsidRDefault="0046090D">
            <w:pPr>
              <w:widowControl w:val="0"/>
              <w:spacing w:line="276" w:lineRule="auto"/>
              <w:ind w:right="-420"/>
              <w:jc w:val="right"/>
              <w:rPr>
                <w:sz w:val="28"/>
                <w:szCs w:val="28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мероприятий по </w:t>
            </w:r>
            <w:r>
              <w:rPr>
                <w:sz w:val="28"/>
                <w:szCs w:val="28"/>
                <w:lang w:eastAsia="en-US"/>
              </w:rPr>
              <w:t xml:space="preserve"> консолидации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бюджетных средств и оптимизации бюджетных расходов  МО Беляевский сельсовет на 2026–2030годы</w:t>
            </w:r>
          </w:p>
        </w:tc>
        <w:tc>
          <w:tcPr>
            <w:tcW w:w="223" w:type="dxa"/>
            <w:tcBorders>
              <w:bottom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" w:type="dxa"/>
          </w:tcPr>
          <w:p w:rsidR="0046090D" w:rsidRDefault="0046090D">
            <w:pPr>
              <w:widowControl w:val="0"/>
            </w:pP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315"/>
        </w:trPr>
        <w:tc>
          <w:tcPr>
            <w:tcW w:w="7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ind w:left="-10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Ответственные </w:t>
            </w:r>
          </w:p>
          <w:p w:rsidR="0046090D" w:rsidRDefault="001D0C94">
            <w:pPr>
              <w:widowControl w:val="0"/>
              <w:spacing w:line="276" w:lineRule="auto"/>
              <w:ind w:left="-10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реализацию мероприятий</w:t>
            </w:r>
          </w:p>
        </w:tc>
        <w:tc>
          <w:tcPr>
            <w:tcW w:w="16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показателя,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Значение </w:t>
            </w: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369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1104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(отчет)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315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3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Меры по увеличению поступлений налоговых и неналоговых доходов</w:t>
            </w: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2117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Утверждение плана по устранению с</w:t>
            </w:r>
            <w:proofErr w:type="gramStart"/>
            <w:r>
              <w:rPr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января 2021 года неэффективных льгот (пониженных ставок по налогам)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сельсовета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 сентября 2026 года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план по устранению с </w:t>
            </w:r>
            <w:r>
              <w:rPr>
                <w:sz w:val="22"/>
                <w:szCs w:val="22"/>
                <w:lang w:eastAsia="en-US"/>
              </w:rPr>
              <w:t>1января 2026 года неэффективных льгот (пониженных ставок по налогам);</w:t>
            </w:r>
          </w:p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муниципальном образовании Беляевский сельсовет</w:t>
            </w:r>
          </w:p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 изменений в план)</w:t>
            </w:r>
          </w:p>
          <w:p w:rsidR="0046090D" w:rsidRDefault="0046090D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168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Совершенствование администрирования административных штрафов, накладываемых административными </w:t>
            </w:r>
            <w:r>
              <w:rPr>
                <w:color w:val="000000"/>
                <w:sz w:val="24"/>
                <w:szCs w:val="24"/>
                <w:lang w:eastAsia="en-US"/>
              </w:rPr>
              <w:t>комиссиями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 сентября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прирост поступлений к </w:t>
            </w:r>
            <w:proofErr w:type="gramStart"/>
            <w:r>
              <w:rPr>
                <w:sz w:val="24"/>
                <w:szCs w:val="24"/>
                <w:lang w:eastAsia="en-US"/>
              </w:rPr>
              <w:t>фактическим</w:t>
            </w:r>
            <w:proofErr w:type="gramEnd"/>
          </w:p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поступлениям</w:t>
            </w:r>
          </w:p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года, процентов</w:t>
            </w:r>
          </w:p>
          <w:p w:rsidR="0046090D" w:rsidRDefault="0046090D">
            <w:pPr>
              <w:widowControl w:val="0"/>
              <w:spacing w:line="276" w:lineRule="auto"/>
              <w:ind w:left="57" w:right="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112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инвентаризации имущества (в том числе земельных участков), находящегося в собственности муниципального образований Беляевский сельсовет. 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 апреля,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дополнительных поступлений в местный бюджет, </w:t>
            </w:r>
          </w:p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</w:t>
            </w:r>
            <w:r>
              <w:rPr>
                <w:sz w:val="24"/>
                <w:szCs w:val="24"/>
                <w:lang w:eastAsia="en-US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1556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Мониторинг осуществления муниципального земельного контроля 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 апреля,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аналитическая записка,</w:t>
            </w:r>
          </w:p>
          <w:p w:rsidR="0046090D" w:rsidRDefault="001D0C94">
            <w:pPr>
              <w:widowControl w:val="0"/>
              <w:spacing w:line="276" w:lineRule="auto"/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1575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 мобилизация налогов и сборов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Специалисты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дополнительные поступления в бюджет, 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42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Активная инвентаризация имущества, находящегося в муниципальной собственности: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br/>
              <w:t>-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внедрение тотального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учета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муниципальногоимущества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-выявление неиспользованного (бесхозного) и установление направлений эффективного его использования;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>-определение и утверждение перечня сдаваемого в аренду имущества с целью увеличения доходов, получаемых в виде арендной платы или иной платы за сдачу во в</w:t>
            </w:r>
            <w:r>
              <w:rPr>
                <w:color w:val="000000"/>
                <w:sz w:val="24"/>
                <w:szCs w:val="24"/>
                <w:lang w:eastAsia="en-US"/>
              </w:rPr>
              <w:t>ременное владение и пользование;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дополнительные поступления в бюджет, 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845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Вовлечение в налоговый оборот объектов недвижимости, включая земельные участки, в том числе: уточнение сведений об </w:t>
            </w:r>
            <w:r>
              <w:rPr>
                <w:sz w:val="24"/>
                <w:szCs w:val="24"/>
                <w:lang w:eastAsia="en-US"/>
              </w:rPr>
              <w:t xml:space="preserve">объектах недвижимости; актуализация результатов государственной кадастровой оценки объектов недвижимости; предоставление сведений о земельных участках и </w:t>
            </w:r>
            <w:r>
              <w:rPr>
                <w:sz w:val="24"/>
                <w:szCs w:val="24"/>
                <w:lang w:eastAsia="en-US"/>
              </w:rPr>
              <w:lastRenderedPageBreak/>
              <w:t>иных объектах недвижимости в рамках информационного обмена; проведение муниципального земельного контро</w:t>
            </w:r>
            <w:r>
              <w:rPr>
                <w:sz w:val="24"/>
                <w:szCs w:val="24"/>
                <w:lang w:eastAsia="en-US"/>
              </w:rPr>
              <w:t>ля. Выявление собственников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лицами.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</w:t>
            </w:r>
            <w:r>
              <w:rPr>
                <w:sz w:val="24"/>
                <w:szCs w:val="24"/>
                <w:lang w:eastAsia="en-US"/>
              </w:rPr>
              <w:t xml:space="preserve">ьные поступления в бюджет, 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126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Усиление межведомственного взаимодействия органов местного самоуправления с территориальными органами федеральных органов исполнительной власти в  регионе, правоохранительными органами по </w:t>
            </w:r>
            <w:r>
              <w:rPr>
                <w:sz w:val="24"/>
                <w:szCs w:val="24"/>
                <w:lang w:eastAsia="en-US"/>
              </w:rPr>
              <w:t>выполнению мероприятий, направленных на повышение собираемости доходов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поступления в бюджет,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99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1.9.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мероприятий по легализации теневой занятости 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Специалисты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выявленных работников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532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01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Меры по оптимизации расходов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58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201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Муниципальная служба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70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Установление нормативов расходов на содержание органов местного самоуправления и нормативов формирования расходов на оплату труда депутатов, выборных должностных лиц местного самоуправления сельских поселений. Использование требований о соблюдении норматив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ов в условиях предоставления дополнительной финансовой помощи. 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ежегодно,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 1 декабря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постановление администрации сельсовета, ед.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70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Установление запрета на увеличение численности муниципальных служащих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</w:t>
            </w:r>
            <w:r>
              <w:rPr>
                <w:sz w:val="24"/>
                <w:szCs w:val="24"/>
                <w:lang w:eastAsia="en-US"/>
              </w:rPr>
              <w:t>сельсовета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нормативный правовой акт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70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Соблюдение нормативов формирования расходов на оплату труда депутатов, выборных должностных лиц местного самоуправления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sz w:val="24"/>
                <w:szCs w:val="24"/>
                <w:lang w:eastAsia="en-US"/>
              </w:rPr>
              <w:t xml:space="preserve">ежеквартального мониторинга соблюдение норматива расходов и </w:t>
            </w:r>
            <w:r>
              <w:rPr>
                <w:sz w:val="24"/>
                <w:szCs w:val="24"/>
                <w:lang w:eastAsia="en-US"/>
              </w:rPr>
              <w:lastRenderedPageBreak/>
              <w:t>внесение предложений по применению бюджетных мер принуждения, единиц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70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2.1.4.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эффективности использования имущества, находящегося в муниципальной собственности, в целях </w:t>
            </w:r>
            <w:r>
              <w:rPr>
                <w:sz w:val="24"/>
                <w:szCs w:val="24"/>
                <w:lang w:eastAsia="en-US"/>
              </w:rPr>
              <w:t>организации деятельности муниципального образования Беляевский сельсовет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объем расходов местного бюджета, оптимизированный в результате эффективного использования имущества,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70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01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Оптимизация бюджетной сети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2.2.1.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отдельных функций органов местного самоуправления в МФЦ предоставления государственных и муниципальных услуг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окон, организованных для приема заявителей в </w:t>
            </w:r>
            <w:r>
              <w:rPr>
                <w:sz w:val="24"/>
                <w:szCs w:val="24"/>
                <w:lang w:eastAsia="en-US"/>
              </w:rPr>
              <w:t xml:space="preserve">МФЦ предоставления государственных и муниципальных услуг (территориальных обособленных структурных </w:t>
            </w:r>
            <w:r>
              <w:rPr>
                <w:sz w:val="24"/>
                <w:szCs w:val="24"/>
                <w:lang w:eastAsia="en-US"/>
              </w:rPr>
              <w:lastRenderedPageBreak/>
              <w:t>подразделениях), единиц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мониторинга просроченной кредиторской задолженности местного бюджета с постановлением администрации сельсовета 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отсутствия роста просроченной кредиторской задолженности по обязательствам ме</w:t>
            </w:r>
            <w:r>
              <w:rPr>
                <w:sz w:val="24"/>
                <w:szCs w:val="24"/>
                <w:lang w:eastAsia="en-US"/>
              </w:rPr>
              <w:t xml:space="preserve">стного бюджета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Недопущение образования просроченной кредиторской задолженности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отсутствие роста просроченной кредиторской задолженности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мониторинга </w:t>
            </w:r>
            <w:r>
              <w:rPr>
                <w:sz w:val="24"/>
                <w:szCs w:val="24"/>
                <w:lang w:eastAsia="en-US"/>
              </w:rPr>
              <w:t>объемов незавершенного строительства финансируемого за счет средств федерального, областного и местного бюджета, подготовка предложений, направленных на сокращение не эффективных расходов соответствующих бюджетов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</w:t>
            </w:r>
            <w:r>
              <w:rPr>
                <w:sz w:val="24"/>
                <w:szCs w:val="24"/>
                <w:lang w:eastAsia="en-US"/>
              </w:rPr>
              <w:t>алитическая записка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77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1201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Совершенствование системы закупок для государственных и муниципальных нужд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315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2.3.1.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Разработка стандартов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оказания услуг, содержащих нормативы материальных ресурсов. 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Специалисты </w:t>
            </w:r>
            <w:r>
              <w:rPr>
                <w:sz w:val="24"/>
                <w:szCs w:val="24"/>
                <w:lang w:eastAsia="en-US"/>
              </w:rPr>
              <w:lastRenderedPageBreak/>
              <w:t>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2026-2030 </w:t>
            </w:r>
            <w:r>
              <w:rPr>
                <w:sz w:val="24"/>
                <w:szCs w:val="24"/>
                <w:lang w:eastAsia="en-US"/>
              </w:rPr>
              <w:lastRenderedPageBreak/>
              <w:t>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проекты НПА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315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1201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Планирование местного бюджета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2.4.1.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Планирование бюджета в рамках муниципальных программ (увеличение доли программных расходов)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программных расходов в общем объеме </w:t>
            </w:r>
            <w:r>
              <w:rPr>
                <w:sz w:val="24"/>
                <w:szCs w:val="24"/>
                <w:lang w:eastAsia="en-US"/>
              </w:rPr>
              <w:t>расходов бюджета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,процентов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99,05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99,5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99,5</w:t>
            </w: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99,5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99,5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893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2.4.2.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Корректировка бюджетного прогноза на долгосрочную перспективу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проекты НПА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315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2.4.3.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Оценка потребности в оказании </w:t>
            </w:r>
            <w:r>
              <w:rPr>
                <w:color w:val="000000"/>
                <w:sz w:val="24"/>
                <w:szCs w:val="24"/>
                <w:lang w:eastAsia="en-US"/>
              </w:rPr>
              <w:t>муниципальными учреждениями муниципальных услуг</w:t>
            </w:r>
          </w:p>
          <w:p w:rsidR="0046090D" w:rsidRDefault="0046090D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муниципальных услуг, </w:t>
            </w: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sz w:val="24"/>
                <w:szCs w:val="24"/>
                <w:lang w:eastAsia="en-US"/>
              </w:rPr>
              <w:t>отношении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которых проведена оценка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187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2.4.4.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Совершенствование методологии разработки и реализации муниципальных </w:t>
            </w:r>
            <w:r>
              <w:rPr>
                <w:sz w:val="24"/>
                <w:szCs w:val="24"/>
                <w:lang w:eastAsia="en-US"/>
              </w:rPr>
              <w:t>программ</w:t>
            </w:r>
          </w:p>
          <w:p w:rsidR="0046090D" w:rsidRDefault="0046090D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проекты НПА </w:t>
            </w:r>
          </w:p>
          <w:p w:rsidR="0046090D" w:rsidRDefault="0046090D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5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01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Меры по сокращению муниципального долга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84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Недопущение планирования привлечения муниципальных заимствований в качестве </w:t>
            </w: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источников финансирования дефицита бюджета</w:t>
            </w:r>
            <w:r>
              <w:rPr>
                <w:sz w:val="24"/>
                <w:szCs w:val="24"/>
                <w:lang w:eastAsia="en-US"/>
              </w:rPr>
              <w:t xml:space="preserve"> поселения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Специалисты администрации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планируемых к привлечению заемных средств, </w:t>
            </w:r>
            <w:r>
              <w:rPr>
                <w:sz w:val="24"/>
                <w:szCs w:val="24"/>
                <w:lang w:eastAsia="en-US"/>
              </w:rPr>
              <w:lastRenderedPageBreak/>
              <w:t>предусмотренных в качестве источника финансирования дефицита бюджета поселения (в первоначальной редакции решения  о  бюджете поселения),</w:t>
            </w:r>
          </w:p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69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3.2.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Недопущение планирования предоставления муниципальных гарантий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планируемых к предоставлению муниципальных гарантий МО </w:t>
            </w:r>
            <w:proofErr w:type="spellStart"/>
            <w:r>
              <w:rPr>
                <w:sz w:val="24"/>
                <w:szCs w:val="24"/>
                <w:lang w:eastAsia="en-US"/>
              </w:rPr>
              <w:t>Беляевскийсельсовет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(в первоначальной редакции решения  о  </w:t>
            </w:r>
            <w:r>
              <w:rPr>
                <w:sz w:val="24"/>
                <w:szCs w:val="24"/>
                <w:lang w:eastAsia="en-US"/>
              </w:rPr>
              <w:t>бюджете поселения),</w:t>
            </w:r>
          </w:p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98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Обеспечить размер дефицита бюджета, установленный решением о бюджете, а также размер дефицита бюджета,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сложившийся по данным годового отчета об исполнении бюджета за год, в объеме, не </w:t>
            </w:r>
            <w:r>
              <w:rPr>
                <w:color w:val="000000"/>
                <w:sz w:val="24"/>
                <w:szCs w:val="24"/>
                <w:lang w:eastAsia="en-US"/>
              </w:rPr>
              <w:t>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капитале, находящихся в собственности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Специали</w:t>
            </w:r>
            <w:r>
              <w:rPr>
                <w:sz w:val="24"/>
                <w:szCs w:val="24"/>
                <w:lang w:eastAsia="en-US"/>
              </w:rPr>
              <w:t>сты администрации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 годы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Отношение дефицита местного бюджета к доходам </w:t>
            </w:r>
            <w:r>
              <w:rPr>
                <w:sz w:val="24"/>
                <w:szCs w:val="24"/>
                <w:lang w:eastAsia="en-US"/>
              </w:rPr>
              <w:lastRenderedPageBreak/>
              <w:t>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процентов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&lt;=0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&lt;=0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&lt;=0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&lt;</w:t>
            </w:r>
            <w:r>
              <w:rPr>
                <w:color w:val="000000"/>
                <w:sz w:val="24"/>
                <w:szCs w:val="24"/>
                <w:lang w:eastAsia="en-US"/>
              </w:rPr>
              <w:t>=0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&lt;=0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&lt;=0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6090D">
        <w:trPr>
          <w:trHeight w:val="147"/>
        </w:trPr>
        <w:tc>
          <w:tcPr>
            <w:tcW w:w="76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vMerge w:val="restart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1" w:type="dxa"/>
            <w:gridSpan w:val="4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" w:type="dxa"/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gridSpan w:val="3"/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  <w:tr w:rsidR="0046090D">
        <w:trPr>
          <w:trHeight w:val="315"/>
        </w:trPr>
        <w:tc>
          <w:tcPr>
            <w:tcW w:w="767" w:type="dxa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vMerge/>
            <w:vAlign w:val="center"/>
          </w:tcPr>
          <w:p w:rsidR="0046090D" w:rsidRDefault="0046090D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" w:type="dxa"/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gridSpan w:val="2"/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gridSpan w:val="3"/>
            <w:shd w:val="clear" w:color="auto" w:fill="FFFFFF"/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" w:type="dxa"/>
          </w:tcPr>
          <w:p w:rsidR="0046090D" w:rsidRDefault="0046090D">
            <w:pPr>
              <w:widowControl w:val="0"/>
            </w:pPr>
          </w:p>
        </w:tc>
      </w:tr>
    </w:tbl>
    <w:p w:rsidR="0046090D" w:rsidRDefault="0046090D"/>
    <w:p w:rsidR="0046090D" w:rsidRDefault="0046090D">
      <w:pPr>
        <w:spacing w:line="276" w:lineRule="auto"/>
        <w:ind w:firstLine="9639"/>
        <w:jc w:val="right"/>
        <w:rPr>
          <w:sz w:val="28"/>
          <w:szCs w:val="28"/>
          <w:lang w:eastAsia="en-US"/>
        </w:rPr>
      </w:pPr>
    </w:p>
    <w:p w:rsidR="0046090D" w:rsidRDefault="0046090D">
      <w:pPr>
        <w:spacing w:line="276" w:lineRule="auto"/>
        <w:ind w:firstLine="9639"/>
        <w:jc w:val="right"/>
        <w:rPr>
          <w:sz w:val="28"/>
          <w:szCs w:val="28"/>
          <w:lang w:eastAsia="en-US"/>
        </w:rPr>
      </w:pPr>
    </w:p>
    <w:p w:rsidR="0046090D" w:rsidRDefault="0046090D">
      <w:pPr>
        <w:spacing w:line="276" w:lineRule="auto"/>
        <w:ind w:firstLine="9639"/>
        <w:jc w:val="right"/>
        <w:rPr>
          <w:sz w:val="28"/>
          <w:szCs w:val="28"/>
          <w:lang w:eastAsia="en-US"/>
        </w:rPr>
      </w:pPr>
    </w:p>
    <w:p w:rsidR="0046090D" w:rsidRDefault="0046090D">
      <w:pPr>
        <w:spacing w:line="276" w:lineRule="auto"/>
        <w:ind w:firstLine="9639"/>
        <w:jc w:val="right"/>
        <w:rPr>
          <w:sz w:val="28"/>
          <w:szCs w:val="28"/>
          <w:lang w:eastAsia="en-US"/>
        </w:rPr>
      </w:pPr>
    </w:p>
    <w:p w:rsidR="0046090D" w:rsidRDefault="001D0C94">
      <w:pPr>
        <w:spacing w:line="276" w:lineRule="auto"/>
        <w:ind w:firstLine="963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2</w:t>
      </w:r>
    </w:p>
    <w:p w:rsidR="0046090D" w:rsidRDefault="001D0C94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постановлению </w:t>
      </w:r>
      <w:proofErr w:type="gramStart"/>
      <w:r>
        <w:rPr>
          <w:sz w:val="28"/>
          <w:szCs w:val="28"/>
          <w:lang w:eastAsia="en-US"/>
        </w:rPr>
        <w:t>от</w:t>
      </w:r>
      <w:proofErr w:type="gramEnd"/>
      <w:r>
        <w:rPr>
          <w:sz w:val="28"/>
          <w:szCs w:val="28"/>
          <w:lang w:eastAsia="en-US"/>
        </w:rPr>
        <w:t xml:space="preserve"> </w:t>
      </w:r>
    </w:p>
    <w:p w:rsidR="0046090D" w:rsidRDefault="00B772D0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15.01.2026г. № 2</w:t>
      </w:r>
      <w:r w:rsidR="001D0C94">
        <w:rPr>
          <w:sz w:val="28"/>
          <w:szCs w:val="28"/>
          <w:lang w:eastAsia="en-US"/>
        </w:rPr>
        <w:t>-п</w:t>
      </w:r>
    </w:p>
    <w:p w:rsidR="0046090D" w:rsidRDefault="0046090D">
      <w:pPr>
        <w:jc w:val="right"/>
      </w:pPr>
    </w:p>
    <w:p w:rsidR="0046090D" w:rsidRDefault="001D0C94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Бюджетный эффект от реализации плана мероприятий</w:t>
      </w:r>
    </w:p>
    <w:p w:rsidR="0046090D" w:rsidRDefault="001D0C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консолидации бюджетных сре</w:t>
      </w:r>
      <w:proofErr w:type="gramStart"/>
      <w:r>
        <w:rPr>
          <w:sz w:val="28"/>
          <w:szCs w:val="28"/>
        </w:rPr>
        <w:t>дств в ц</w:t>
      </w:r>
      <w:proofErr w:type="gramEnd"/>
      <w:r>
        <w:rPr>
          <w:sz w:val="28"/>
          <w:szCs w:val="28"/>
        </w:rPr>
        <w:t>елях оздоровления муниципальных финансов на 2026 – 2030 годы</w:t>
      </w:r>
    </w:p>
    <w:p w:rsidR="0046090D" w:rsidRDefault="0046090D">
      <w:pPr>
        <w:jc w:val="center"/>
      </w:pPr>
    </w:p>
    <w:tbl>
      <w:tblPr>
        <w:tblW w:w="14745" w:type="dxa"/>
        <w:tblInd w:w="221" w:type="dxa"/>
        <w:tblLayout w:type="fixed"/>
        <w:tblLook w:val="04A0"/>
      </w:tblPr>
      <w:tblGrid>
        <w:gridCol w:w="842"/>
        <w:gridCol w:w="8235"/>
        <w:gridCol w:w="1134"/>
        <w:gridCol w:w="992"/>
        <w:gridCol w:w="993"/>
        <w:gridCol w:w="849"/>
        <w:gridCol w:w="851"/>
        <w:gridCol w:w="849"/>
      </w:tblGrid>
      <w:tr w:rsidR="0046090D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мероприятия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Бюджетный эффект (тыс. рублей)</w:t>
            </w:r>
          </w:p>
        </w:tc>
      </w:tr>
      <w:tr w:rsidR="0046090D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2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090D" w:rsidRDefault="0046090D">
            <w:pPr>
              <w:widowControl w:val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2030 год</w:t>
            </w:r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sz w:val="24"/>
                <w:szCs w:val="24"/>
                <w:lang w:eastAsia="en-US"/>
              </w:rPr>
              <w:t>инвентаризации имущества (в том числе земельных участков), находящегося в собственности муниципальных образований Беляевский сельсовет. Выявление неиспользуемых основных фондов (земельных участков) муниципальных учреждений, муниципальных унитарных предприя</w:t>
            </w:r>
            <w:r>
              <w:rPr>
                <w:sz w:val="24"/>
                <w:szCs w:val="24"/>
                <w:lang w:eastAsia="en-US"/>
              </w:rPr>
              <w:t>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</w:tr>
      <w:tr w:rsidR="0046090D">
        <w:trPr>
          <w:trHeight w:val="19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 мобилизация налогов и сборов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Активная инвентаризация имущества, находящегося в муниципальной собственности: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-внедрение тотального учета муниципального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-выявление неиспользованного (бесхозного) и установление направлений эффективного его использования;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-определение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утверждение перечня сдаваемого в аренду имущества с целью увеличения доходов, получаемых в виде арендной платы или иной платы за сдачу во временное владение и пользование;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-выявление неиспользуемых основных фондов муниципальных учреждений и принятие соотве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тствующих мер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продаже или сдаче в аренду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Усиление межведомственного взаимодействия органов местного самоуправления с территориальными органами федеральных органов исполнительной власти в  регионе, правоохранительными органами по </w:t>
            </w:r>
            <w:r>
              <w:rPr>
                <w:sz w:val="24"/>
                <w:szCs w:val="24"/>
                <w:lang w:eastAsia="en-US"/>
              </w:rPr>
              <w:t>выполнению мероприятий, направленных на повышение собираемости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46090D">
            <w:pPr>
              <w:widowControl w:val="0"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46090D">
            <w:pPr>
              <w:widowControl w:val="0"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46090D">
            <w:pPr>
              <w:widowControl w:val="0"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46090D">
            <w:pPr>
              <w:widowControl w:val="0"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46090D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46090D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 по оптимизации расходов,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эффективности использования имущества, находящегося в муниципальной собственности, в целях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деятельности органов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местного самоуправления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Беляевский сельсовет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46090D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х</w:t>
            </w:r>
            <w:proofErr w:type="spellEnd"/>
          </w:p>
        </w:tc>
      </w:tr>
      <w:tr w:rsidR="0046090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Выявление неиспользуемых основных фондов муниципальных учреждений и принятие мер по их продаже или предоставлению в аренду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D" w:rsidRDefault="001D0C94">
            <w:pPr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D" w:rsidRDefault="001D0C94">
            <w:pPr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</w:tr>
    </w:tbl>
    <w:p w:rsidR="0046090D" w:rsidRDefault="0046090D">
      <w:pPr>
        <w:rPr>
          <w:sz w:val="24"/>
          <w:szCs w:val="24"/>
          <w:lang w:val="en-US"/>
        </w:rPr>
      </w:pPr>
    </w:p>
    <w:p w:rsidR="0046090D" w:rsidRDefault="0046090D"/>
    <w:p w:rsidR="0046090D" w:rsidRDefault="0046090D"/>
    <w:sectPr w:rsidR="0046090D" w:rsidSect="0046090D">
      <w:pgSz w:w="16838" w:h="11906" w:orient="landscape"/>
      <w:pgMar w:top="993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6090D"/>
    <w:rsid w:val="001D0C94"/>
    <w:rsid w:val="0046090D"/>
    <w:rsid w:val="00B7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FA1064"/>
    <w:pPr>
      <w:widowControl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A10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Заголовок 1 Знак"/>
    <w:basedOn w:val="a0"/>
    <w:link w:val="Heading1"/>
    <w:uiPriority w:val="99"/>
    <w:qFormat/>
    <w:rsid w:val="00FA10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">
    <w:name w:val="Заголовок 5 Знак"/>
    <w:basedOn w:val="a0"/>
    <w:link w:val="Heading5"/>
    <w:uiPriority w:val="9"/>
    <w:qFormat/>
    <w:rsid w:val="00FA106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a3">
    <w:name w:val="Название Знак"/>
    <w:basedOn w:val="a0"/>
    <w:uiPriority w:val="99"/>
    <w:qFormat/>
    <w:rsid w:val="00FA106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4">
    <w:name w:val="Основной текст Знак"/>
    <w:basedOn w:val="a0"/>
    <w:link w:val="a5"/>
    <w:uiPriority w:val="99"/>
    <w:qFormat/>
    <w:rsid w:val="00FA1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qFormat/>
    <w:rsid w:val="00FA1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FA1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FA10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Название Знак1"/>
    <w:basedOn w:val="a0"/>
    <w:link w:val="a9"/>
    <w:uiPriority w:val="99"/>
    <w:qFormat/>
    <w:locked/>
    <w:rsid w:val="00FA1064"/>
    <w:rPr>
      <w:rFonts w:ascii="Cambria" w:eastAsia="Calibri" w:hAnsi="Cambria" w:cs="Cambria"/>
      <w:color w:val="17365D"/>
      <w:spacing w:val="5"/>
      <w:kern w:val="2"/>
      <w:sz w:val="52"/>
      <w:szCs w:val="52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qFormat/>
    <w:locked/>
    <w:rsid w:val="00FA10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Текст выноски Знак1"/>
    <w:basedOn w:val="a0"/>
    <w:link w:val="aa"/>
    <w:uiPriority w:val="99"/>
    <w:semiHidden/>
    <w:qFormat/>
    <w:locked/>
    <w:rsid w:val="00FA10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460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uiPriority w:val="99"/>
    <w:unhideWhenUsed/>
    <w:rsid w:val="00FA1064"/>
    <w:pPr>
      <w:spacing w:after="120"/>
    </w:pPr>
  </w:style>
  <w:style w:type="paragraph" w:styleId="ab">
    <w:name w:val="List"/>
    <w:basedOn w:val="a"/>
    <w:semiHidden/>
    <w:unhideWhenUsed/>
    <w:rsid w:val="00FA1064"/>
    <w:pPr>
      <w:ind w:left="283" w:hanging="283"/>
    </w:pPr>
    <w:rPr>
      <w:sz w:val="24"/>
      <w:szCs w:val="24"/>
      <w:lang w:eastAsia="ar-SA"/>
    </w:rPr>
  </w:style>
  <w:style w:type="paragraph" w:customStyle="1" w:styleId="Caption">
    <w:name w:val="Caption"/>
    <w:basedOn w:val="a"/>
    <w:qFormat/>
    <w:rsid w:val="004609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6090D"/>
    <w:pPr>
      <w:suppressLineNumbers/>
    </w:pPr>
  </w:style>
  <w:style w:type="paragraph" w:styleId="a9">
    <w:name w:val="Title"/>
    <w:basedOn w:val="a"/>
    <w:next w:val="a"/>
    <w:link w:val="10"/>
    <w:uiPriority w:val="99"/>
    <w:qFormat/>
    <w:rsid w:val="00FA1064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"/>
      <w:sz w:val="52"/>
      <w:szCs w:val="52"/>
    </w:rPr>
  </w:style>
  <w:style w:type="paragraph" w:styleId="a7">
    <w:name w:val="Body Text Indent"/>
    <w:basedOn w:val="a"/>
    <w:link w:val="a6"/>
    <w:uiPriority w:val="99"/>
    <w:semiHidden/>
    <w:unhideWhenUsed/>
    <w:rsid w:val="00FA1064"/>
    <w:pPr>
      <w:spacing w:after="120"/>
      <w:ind w:left="283"/>
    </w:pPr>
  </w:style>
  <w:style w:type="paragraph" w:styleId="20">
    <w:name w:val="Body Text Indent 2"/>
    <w:basedOn w:val="a"/>
    <w:link w:val="21"/>
    <w:uiPriority w:val="99"/>
    <w:semiHidden/>
    <w:unhideWhenUsed/>
    <w:qFormat/>
    <w:rsid w:val="00FA1064"/>
    <w:pPr>
      <w:spacing w:line="360" w:lineRule="auto"/>
      <w:ind w:firstLine="540"/>
      <w:jc w:val="both"/>
    </w:pPr>
    <w:rPr>
      <w:sz w:val="28"/>
      <w:szCs w:val="28"/>
    </w:rPr>
  </w:style>
  <w:style w:type="paragraph" w:styleId="aa">
    <w:name w:val="Balloon Text"/>
    <w:basedOn w:val="a"/>
    <w:link w:val="11"/>
    <w:uiPriority w:val="99"/>
    <w:semiHidden/>
    <w:unhideWhenUsed/>
    <w:qFormat/>
    <w:rsid w:val="00FA1064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qFormat/>
    <w:rsid w:val="00FA1064"/>
    <w:pPr>
      <w:widowControl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qFormat/>
    <w:rsid w:val="00FA1064"/>
    <w:pPr>
      <w:widowControl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1737</Words>
  <Characters>9901</Characters>
  <Application>Microsoft Office Word</Application>
  <DocSecurity>0</DocSecurity>
  <Lines>82</Lines>
  <Paragraphs>23</Paragraphs>
  <ScaleCrop>false</ScaleCrop>
  <Company>Microsoft</Company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Карпенко</cp:lastModifiedBy>
  <cp:revision>2</cp:revision>
  <dcterms:created xsi:type="dcterms:W3CDTF">2026-01-22T10:36:00Z</dcterms:created>
  <dcterms:modified xsi:type="dcterms:W3CDTF">2026-01-22T10:36:00Z</dcterms:modified>
  <dc:language>ru-RU</dc:language>
</cp:coreProperties>
</file>