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92"/>
      </w:tblGrid>
      <w:tr w:rsidR="00B47989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B47989" w:rsidRDefault="0076634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47989">
        <w:trPr>
          <w:cantSplit/>
          <w:trHeight w:val="1105"/>
        </w:trPr>
        <w:tc>
          <w:tcPr>
            <w:tcW w:w="9192" w:type="dxa"/>
            <w:vAlign w:val="bottom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989" w:rsidRDefault="0076634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47989" w:rsidRDefault="00B47989">
      <w:pPr>
        <w:widowControl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B47989" w:rsidRDefault="007663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B47989" w:rsidRDefault="0076634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Беляевский сельсовет </w:t>
      </w:r>
    </w:p>
    <w:p w:rsidR="00B47989" w:rsidRDefault="0076634F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02.12.2022 № 130-п </w:t>
      </w:r>
    </w:p>
    <w:p w:rsidR="00B47989" w:rsidRDefault="00B47989">
      <w:pPr>
        <w:widowControl/>
        <w:ind w:left="283" w:hanging="283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47989" w:rsidRDefault="00B47989">
      <w:pPr>
        <w:widowControl/>
        <w:tabs>
          <w:tab w:val="left" w:pos="-426"/>
        </w:tabs>
        <w:ind w:right="-57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47989" w:rsidRDefault="0076634F">
      <w:pPr>
        <w:widowControl/>
        <w:ind w:firstLine="0"/>
        <w:rPr>
          <w:rFonts w:ascii="Times New Roman" w:hAnsi="Times New Roman" w:cs="Times New Roman"/>
          <w:sz w:val="28"/>
          <w:szCs w:val="26"/>
          <w:lang w:eastAsia="ar-SA"/>
        </w:rPr>
      </w:pPr>
      <w:r>
        <w:rPr>
          <w:rFonts w:ascii="Times New Roman" w:hAnsi="Times New Roman" w:cs="Times New Roman"/>
          <w:sz w:val="32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6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6"/>
          <w:lang w:eastAsia="ar-SA"/>
        </w:rPr>
        <w:t>соответствии с постановлением администрации Беляевского сельсовета  № 120-п от 11.11.2022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муниципальной программы Беляевского сельсовета Беляевского района Оренбургской области</w:t>
      </w:r>
      <w:r>
        <w:rPr>
          <w:rFonts w:ascii="Times New Roman" w:hAnsi="Times New Roman" w:cs="Times New Roman"/>
          <w:sz w:val="28"/>
          <w:szCs w:val="26"/>
          <w:lang w:eastAsia="ar-SA"/>
        </w:rPr>
        <w:t>» постанов</w:t>
      </w:r>
      <w:r>
        <w:rPr>
          <w:rFonts w:ascii="Times New Roman" w:hAnsi="Times New Roman" w:cs="Times New Roman"/>
          <w:sz w:val="28"/>
          <w:szCs w:val="26"/>
          <w:lang w:eastAsia="ar-SA"/>
        </w:rPr>
        <w:t>ляю:</w:t>
      </w:r>
    </w:p>
    <w:p w:rsidR="00B47989" w:rsidRDefault="0076634F">
      <w:pPr>
        <w:widowControl/>
        <w:tabs>
          <w:tab w:val="left" w:pos="-426"/>
          <w:tab w:val="left" w:pos="720"/>
          <w:tab w:val="left" w:pos="993"/>
        </w:tabs>
        <w:ind w:right="-57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 Приложение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 xml:space="preserve"> 4 к муниципальной программе читать в новой редакции. </w:t>
      </w:r>
    </w:p>
    <w:p w:rsidR="00B47989" w:rsidRDefault="0076634F">
      <w:pPr>
        <w:widowControl/>
        <w:ind w:right="-143"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исполнением настоящего постановления оставляю за собой.</w:t>
      </w:r>
    </w:p>
    <w:p w:rsidR="00B47989" w:rsidRDefault="0076634F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3. </w:t>
      </w:r>
      <w:r>
        <w:rPr>
          <w:rFonts w:ascii="Times New Roman" w:hAnsi="Times New Roman" w:cs="Times New Roman"/>
          <w:sz w:val="28"/>
          <w:szCs w:val="26"/>
        </w:rPr>
        <w:t>Постановление вступает в силу после его официального опубликования.</w:t>
      </w:r>
    </w:p>
    <w:p w:rsidR="00B47989" w:rsidRDefault="00B47989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p w:rsidR="00B47989" w:rsidRDefault="00B47989">
      <w:pPr>
        <w:widowControl/>
        <w:ind w:firstLine="567"/>
        <w:rPr>
          <w:rFonts w:ascii="Times New Roman" w:hAnsi="Times New Roman" w:cs="Times New Roman"/>
          <w:sz w:val="28"/>
          <w:szCs w:val="26"/>
        </w:rPr>
      </w:pPr>
    </w:p>
    <w:tbl>
      <w:tblPr>
        <w:tblW w:w="9570" w:type="dxa"/>
        <w:tblInd w:w="216" w:type="dxa"/>
        <w:tblLayout w:type="fixed"/>
        <w:tblLook w:val="04A0"/>
      </w:tblPr>
      <w:tblGrid>
        <w:gridCol w:w="5382"/>
        <w:gridCol w:w="4188"/>
      </w:tblGrid>
      <w:tr w:rsidR="00B47989">
        <w:trPr>
          <w:trHeight w:val="510"/>
        </w:trPr>
        <w:tc>
          <w:tcPr>
            <w:tcW w:w="5381" w:type="dxa"/>
          </w:tcPr>
          <w:p w:rsidR="00B47989" w:rsidRDefault="0076634F">
            <w:pPr>
              <w:ind w:firstLin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Глава муниципального образования</w:t>
            </w:r>
          </w:p>
        </w:tc>
        <w:tc>
          <w:tcPr>
            <w:tcW w:w="4188" w:type="dxa"/>
          </w:tcPr>
          <w:p w:rsidR="00B47989" w:rsidRDefault="0076634F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                  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М.Х.Елешев</w:t>
            </w:r>
            <w:proofErr w:type="spellEnd"/>
          </w:p>
        </w:tc>
      </w:tr>
    </w:tbl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B47989" w:rsidRDefault="0076634F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47989" w:rsidRDefault="00B47989">
      <w:pPr>
        <w:ind w:firstLine="0"/>
        <w:contextualSpacing/>
        <w:jc w:val="center"/>
        <w:rPr>
          <w:rFonts w:ascii="Times New Roman" w:hAnsi="Times New Roman" w:cs="Times New Roman"/>
        </w:rPr>
      </w:pPr>
    </w:p>
    <w:p w:rsidR="00B47989" w:rsidRDefault="0076634F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бухгалтерии сельсовета, администрация района, прокурору района, в дело.</w:t>
      </w:r>
    </w:p>
    <w:p w:rsidR="00B47989" w:rsidRDefault="00B47989">
      <w:pPr>
        <w:ind w:firstLine="0"/>
        <w:contextualSpacing/>
        <w:jc w:val="left"/>
        <w:rPr>
          <w:rFonts w:ascii="Times New Roman" w:hAnsi="Times New Roman" w:cs="Times New Roman"/>
        </w:rPr>
      </w:pPr>
    </w:p>
    <w:p w:rsidR="00B47989" w:rsidRDefault="00B47989">
      <w:pPr>
        <w:ind w:firstLine="0"/>
        <w:contextualSpacing/>
        <w:rPr>
          <w:rFonts w:ascii="Times New Roman" w:hAnsi="Times New Roman" w:cs="Times New Roman"/>
        </w:rPr>
        <w:sectPr w:rsidR="00B47989">
          <w:headerReference w:type="default" r:id="rId9"/>
          <w:pgSz w:w="11906" w:h="16838"/>
          <w:pgMar w:top="777" w:right="851" w:bottom="567" w:left="1701" w:header="720" w:footer="0" w:gutter="0"/>
          <w:cols w:space="720"/>
          <w:formProt w:val="0"/>
          <w:docGrid w:linePitch="326"/>
        </w:sectPr>
      </w:pP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47989" w:rsidRDefault="0076634F">
      <w:pPr>
        <w:pStyle w:val="afffff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мероприятий (результатов) муниципальной программы</w:t>
      </w:r>
    </w:p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"/>
        <w:gridCol w:w="2512"/>
        <w:gridCol w:w="3679"/>
        <w:gridCol w:w="1132"/>
        <w:gridCol w:w="993"/>
        <w:gridCol w:w="851"/>
        <w:gridCol w:w="850"/>
        <w:gridCol w:w="851"/>
        <w:gridCol w:w="938"/>
        <w:gridCol w:w="6"/>
        <w:gridCol w:w="9"/>
        <w:gridCol w:w="26"/>
        <w:gridCol w:w="12"/>
        <w:gridCol w:w="682"/>
        <w:gridCol w:w="6"/>
        <w:gridCol w:w="11"/>
        <w:gridCol w:w="11"/>
        <w:gridCol w:w="625"/>
        <w:gridCol w:w="14"/>
        <w:gridCol w:w="9"/>
        <w:gridCol w:w="29"/>
        <w:gridCol w:w="17"/>
        <w:gridCol w:w="14"/>
        <w:gridCol w:w="659"/>
        <w:gridCol w:w="6"/>
        <w:gridCol w:w="9"/>
        <w:gridCol w:w="15"/>
        <w:gridCol w:w="20"/>
        <w:gridCol w:w="763"/>
      </w:tblGrid>
      <w:tr w:rsidR="00B47989">
        <w:trPr>
          <w:trHeight w:val="240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  <w:r>
              <w:rPr>
                <w:rStyle w:val="FootnoteReference"/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footnoteReference w:id="2"/>
            </w:r>
          </w:p>
        </w:tc>
        <w:tc>
          <w:tcPr>
            <w:tcW w:w="11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433" w:type="dxa"/>
            <w:gridSpan w:val="2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B47989">
        <w:tc>
          <w:tcPr>
            <w:tcW w:w="57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67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B47989" w:rsidRDefault="00B4798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3881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2026       2027       2028      2029     2030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left="90"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задачи структурного элемента «Функционирование высшего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должностного лица»</w:t>
            </w:r>
          </w:p>
        </w:tc>
      </w:tr>
      <w:tr w:rsidR="00B47989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«Глава муниципального образования»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</w:t>
            </w:r>
          </w:p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 в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повышения  качества муниципальных услуг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1028,7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задачи структурного элемента «Функционирование и развитие муниципальной службы в администрации»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«Центральный 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муниципальных правовых актов действующему законодательству, совершенствование организационных и правовых механизмов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профессиональной служебной деятельности муниципальных служащих в целях повышения качества муниципальных услуг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 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4279,0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4970,7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535,7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«Заключ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ение соглашений на осуществление полномочий»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осуществление полномочий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утверждению генеральных планов поселения, правил землепользования и застройки, утвержденного подготовленной на основе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расположенных на территории поселения, 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езервирование земель и изъятие, в том числе путем выкупа земельных участков в границах поселения для муниципальных нужд, осуществление земельного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использованием земель поселения.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1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8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0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46,2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167,2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1.6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Средства, передаваемые в районный бюджет по соглашению на обеспечение деятельности финансовых, налоговых и таможенных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 и органов финансового (финансово-бюджетного надзора)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18,5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муниципальных 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1.8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«Центральный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аппарат»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муниципальных правовых актов действующему законодательству, пенсионное обеспечение служащих администрации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9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69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23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элемента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«Оформление права соб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ственности на объекты недвижимости и регулирование отношений по государственной и муниципальной собственности»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подготовке технической документации на объекты недвижимости для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постановки на кадастровый учет»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bottom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«Финансирование мероприятий по проведению инвентаризации объектов недвижимого имущества»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недостачи и излишек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регистрации прав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землеустройству 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землепользованию за счет средств местного бюджета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«Осуществление отдельных государственных полномочий»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задачи структурного элемента «Содержание специалиста по первичному воинскому учёту»</w:t>
            </w:r>
          </w:p>
        </w:tc>
      </w:tr>
      <w:tr w:rsidR="00B47989">
        <w:trPr>
          <w:trHeight w:val="14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3.1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первичного воинского учета органами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 самоуправления поселений, муниципальных и городских округов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Качественное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385,6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425,3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465,7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«Обеспечение безопасности на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«Создание резерва фин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ансовых и материальных ресурсов для ликвидации чрезвычайных ситуаций,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в области защиты населения и территорий от чрезвычайных ситуаций»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резерва финансовый и материальных ресурсов для ликвидации чрезвычайных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ситуаций,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уровня безопасности населения  при угрозе или возникновении чрезвычайных ситуаций, снижение рисков возникновения и смягчение последствий чрез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вычайных ситуаций; создание необходимых условий для обеспечения пожарной безопасности, защиты жизни и здоровья граждан;</w:t>
            </w:r>
          </w:p>
          <w:p w:rsidR="00B47989" w:rsidRDefault="00B47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47989" w:rsidRDefault="00B479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пожарной безопасности»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пожаробезопасности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помещений, зданий жилого сектора, совершенствование противопожарной пропаганды при использовании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 массовой информации, наглядной агитации, листовок, личных бесед с гражданами, достижение в этом направлении стопроцентного охвата населения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1151,0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1059,2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задачи структурного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элемента «Финансовое обеспечение деятельности и мероприятий добровольной народной дружины»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4.3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и мероприятий добровольной народной дружины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организации добровольной народной дружины, а также для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 граждан в обеспечении мер безопасности.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безопасности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правоохранительной деятельности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  безопасности,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структурного элемента «Дорожное хозяйство»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«Содержание автомобильных дорог общего пользования и 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усственных сооружений на них за счет средств бюджета поселения»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  безопасности, защита жизни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3724,5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55.2</w:t>
            </w:r>
          </w:p>
          <w:p w:rsidR="00B47989" w:rsidRDefault="00B479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  безопасности дорож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движения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68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0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79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задачи структурного элемента «Капитальный ремонт и ремонт автомобильных дорог общего пользования»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асфальтобетонного покрытия части 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Кузнечная от ул. Первомайской до дома №49 ул. Кузнечной с. Беляевка Беляевского района Оренбургской области</w:t>
            </w:r>
            <w:proofErr w:type="gramEnd"/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безопасности и  защиты жизни и здоровья граждан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1118,7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«Жилищно-коммунальное хозяйство и благоустройство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«Жилищное хозяйство»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ремо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нт муниципального жилищного фонда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и ремонт имущества находящегося в муниципальной собственности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727,7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«коммунальное хозяйство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образования Беляевский сельсовет»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за счет средств, поступивших от </w:t>
            </w: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публично-правовой компании «Фонд развития территорий»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Реконструкция существующей водопроводной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сети улиц Кузнечная, Степная, Почтовая, Первомайская, Ленинская, Школьная,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Банковская,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Стародубцевых,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Карагачская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Луговая, Крайняя, Зеленая,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Пономаренко В.С.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Беляевка, Беляевского района, Оренбургской области, протяженно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стью 8,4 км с давлением 2,0 атмосферы</w:t>
            </w:r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лучшения качества и надежности                              предоставления жилищно-коммунальных услуг населению;</w:t>
            </w:r>
          </w:p>
          <w:p w:rsidR="00B47989" w:rsidRDefault="0076634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10212,2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3679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6648,8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1127,5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6.7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Обеспечение мероприятий по модернизации систем коммунальной инфраструктуры (отражения расходов местного бюджета, в целях </w:t>
            </w:r>
            <w:proofErr w:type="gramStart"/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 финансирования которых предоставляется субсидия)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1064,3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1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6.5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  <w:tc>
          <w:tcPr>
            <w:tcW w:w="3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водопровода длиной 7,7 км от водозабора в «Урочище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Контугай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Беляевка Беляевского района Оренбургск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области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20618,6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19936,3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6.6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  <w:r>
              <w:rPr>
                <w:rFonts w:ascii="Times New Roman" w:hAnsi="Times New Roman"/>
                <w:w w:val="121"/>
                <w:sz w:val="20"/>
                <w:szCs w:val="2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инженерной сети водоснабжения по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виационная и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границах ул.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Северная  и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с. Беляевка,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Беляевскогорайона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Оренбургской области</w:t>
            </w:r>
          </w:p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улучшения качества и надежности                              предоставления жилищно-коммунальных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населению;</w:t>
            </w:r>
          </w:p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проживания граждан;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Тыс.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563,8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6.7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B47989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Восстановление работоспособности канализационной насосной станции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Беляевка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Беляевского района Оренбургской области, кадастровый номер 56:06:0201003:267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1166,37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6.8</w:t>
            </w:r>
          </w:p>
        </w:tc>
        <w:tc>
          <w:tcPr>
            <w:tcW w:w="2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89" w:rsidRDefault="00B47989">
            <w:pPr>
              <w:pStyle w:val="aff3"/>
              <w:widowControl w:val="0"/>
              <w:rPr>
                <w:rFonts w:ascii="Times New Roman" w:hAnsi="Times New Roman"/>
                <w:w w:val="121"/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keepNext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Восстановление работоспособности водозаборных скважин, обеспечивающих население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Беляевка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Беляевского района Оренбургской области питьевым водоснабжением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3505,68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6.9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мероприятий по озеленению территории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 уровня эстетики поселения, улучшение санитарного и экологического состояния населенных пунктов поселения;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1095,9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501,0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содержание мест захоронения»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и содержание мест захоронения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благоприятных условий для улучшения внешнего вида территорий кладбищ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538,4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«Финансовое обеспечение мероприятий по благоустройству поселений»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благоустройству поселени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й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технического состояния отдельных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6099,8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5367,0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3245,8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4386,4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удалению сухостойных и аварийных деревьев, выкашивание сорной растительности,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835,7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650,0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«Обустройство и содержание площадок для сбора твердых коммунальных отходов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6.13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организационно-хозяйственных мероприятий по сбору и вывозу несанкционированных свалок.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687,1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66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73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6.14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Расходы по захоронению граждан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Тыс. руб.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409,4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структурного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элемента «Мероприятия направление на реализацию приоритетных проектов»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Монтаж ограждения и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спортивной площадки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Беляевского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Оренбургской области Организация  досуга населения, увеличение числа жителей активно принимающих участие в  спортивной жизни общества, повышение интереса жителей к массовому спорту и спортивным мероп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риятиям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446,3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7.3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367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Благоустройство в с. Беляевка Беляевского района Оренбургской области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устройство ливневой канализации по ул. Банковской от улицы Советской до улицы Ленинской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952,8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7.4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17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завершению реализации инициативных проектов</w:t>
            </w:r>
          </w:p>
        </w:tc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культуры, организация праздничн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 мероприятий на территории муниципального образования Беляевский сельсовет»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«Организация и проведение культурно массовых мероприятий»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1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деятельности и мероприятий  учреждений 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кинематографии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snapToGri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культурного отдыха населения путем проведения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мероприятий;</w:t>
            </w:r>
          </w:p>
          <w:p w:rsidR="00B47989" w:rsidRDefault="0076634F">
            <w:pPr>
              <w:snapToGrid w:val="0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численности участников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86,5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задачи структурного элемента «Обеспечение деятельности подведомственных учреждений культуры»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Средства, передаваемые в районный бюджет по соглашению на РДК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развитие материально-технической базы будет способствовать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увеличению численности населения участвующего в культурно массовых мероприятиях, а так же будет способствовать увеличению численности проводимых мероприятий и повышению их качества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5206,0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5655,5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5735,4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структурного элемента «Развитие физической культуры, спорта и молодежной политики на территории муниципального образования Беляевский сельсовет</w:t>
            </w:r>
          </w:p>
        </w:tc>
      </w:tr>
      <w:tr w:rsidR="00B47989">
        <w:tc>
          <w:tcPr>
            <w:tcW w:w="15323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задачи структурного элемента «Организация и проведение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спортивных массовых мероприятий»</w:t>
            </w:r>
          </w:p>
        </w:tc>
      </w:tr>
      <w:tr w:rsidR="00B47989"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мероприятий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физической культуры и спорта на территории сельского поселения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pStyle w:val="Standard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 xml:space="preserve">Увеличение количества жителей,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lastRenderedPageBreak/>
              <w:t>принимающих участие в спортивных мероприятиях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B47989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94,2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64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74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  <w:tc>
          <w:tcPr>
            <w:tcW w:w="80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7989" w:rsidRDefault="0076634F">
            <w:pPr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120,0</w:t>
            </w:r>
          </w:p>
        </w:tc>
      </w:tr>
    </w:tbl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p w:rsidR="00B47989" w:rsidRDefault="00B47989">
      <w:pPr>
        <w:pStyle w:val="afffff0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sectPr w:rsidR="00B47989" w:rsidSect="00B47989">
      <w:headerReference w:type="default" r:id="rId10"/>
      <w:headerReference w:type="first" r:id="rId11"/>
      <w:pgSz w:w="16838" w:h="11906" w:orient="landscape"/>
      <w:pgMar w:top="1701" w:right="777" w:bottom="851" w:left="567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89" w:rsidRDefault="00B47989" w:rsidP="00B47989">
      <w:r>
        <w:separator/>
      </w:r>
    </w:p>
  </w:endnote>
  <w:endnote w:type="continuationSeparator" w:id="1">
    <w:p w:rsidR="00B47989" w:rsidRDefault="00B47989" w:rsidP="00B4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89" w:rsidRDefault="0076634F">
      <w:pPr>
        <w:rPr>
          <w:sz w:val="12"/>
        </w:rPr>
      </w:pPr>
      <w:r>
        <w:separator/>
      </w:r>
    </w:p>
  </w:footnote>
  <w:footnote w:type="continuationSeparator" w:id="1">
    <w:p w:rsidR="00B47989" w:rsidRDefault="0076634F">
      <w:pPr>
        <w:rPr>
          <w:sz w:val="12"/>
        </w:rPr>
      </w:pPr>
      <w:r>
        <w:continuationSeparator/>
      </w:r>
    </w:p>
  </w:footnote>
  <w:footnote w:id="2">
    <w:p w:rsidR="00B47989" w:rsidRDefault="0076634F">
      <w:pPr>
        <w:pStyle w:val="14"/>
        <w:widowControl w:val="0"/>
        <w:ind w:left="0" w:right="-141" w:firstLine="0"/>
        <w:jc w:val="both"/>
        <w:rPr>
          <w:b w:val="0"/>
        </w:rPr>
      </w:pPr>
      <w:r>
        <w:rPr>
          <w:rStyle w:val="FootnoteCharacters"/>
        </w:rPr>
        <w:footnoteRef/>
      </w:r>
      <w:r>
        <w:rPr>
          <w:b w:val="0"/>
        </w:rPr>
        <w:t>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89" w:rsidRDefault="00B4798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89" w:rsidRDefault="00B47989">
    <w:pPr>
      <w:tabs>
        <w:tab w:val="center" w:pos="7818"/>
        <w:tab w:val="center" w:pos="15636"/>
      </w:tabs>
      <w:spacing w:line="259" w:lineRule="auto"/>
      <w:ind w:firstLine="0"/>
      <w:jc w:val="center"/>
    </w:pPr>
    <w:r>
      <w:rPr>
        <w:rFonts w:ascii="Times New Roman" w:hAnsi="Times New Roman" w:cs="Times New Roman"/>
        <w:b/>
      </w:rPr>
      <w:fldChar w:fldCharType="begin"/>
    </w:r>
    <w:r w:rsidR="0076634F">
      <w:rPr>
        <w:rFonts w:ascii="Times New Roman" w:hAnsi="Times New Roman" w:cs="Times New Roman"/>
        <w:b/>
      </w:rPr>
      <w:instrText xml:space="preserve"> PAGE </w:instrText>
    </w:r>
    <w:r>
      <w:rPr>
        <w:rFonts w:ascii="Times New Roman" w:hAnsi="Times New Roman" w:cs="Times New Roman"/>
        <w:b/>
      </w:rPr>
      <w:fldChar w:fldCharType="separate"/>
    </w:r>
    <w:r w:rsidR="0076634F">
      <w:rPr>
        <w:rFonts w:ascii="Times New Roman" w:hAnsi="Times New Roman" w:cs="Times New Roman"/>
        <w:b/>
        <w:noProof/>
      </w:rPr>
      <w:t>10</w:t>
    </w:r>
    <w:r>
      <w:rPr>
        <w:rFonts w:ascii="Times New Roman" w:hAnsi="Times New Roman" w:cs="Times New Roman"/>
        <w:b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89" w:rsidRDefault="00B4798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989"/>
    <w:rsid w:val="0076634F"/>
    <w:rsid w:val="00B4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87"/>
    <w:pPr>
      <w:widowControl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qFormat/>
    <w:rsid w:val="002F6E8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">
    <w:name w:val="Заголовок 2 Знак"/>
    <w:basedOn w:val="a0"/>
    <w:link w:val="21"/>
    <w:qFormat/>
    <w:rsid w:val="002F6E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qFormat/>
    <w:rsid w:val="002F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"/>
    <w:qFormat/>
    <w:rsid w:val="002F6E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2F6E87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2F6E8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qFormat/>
    <w:rsid w:val="002F6E87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qFormat/>
    <w:rsid w:val="002F6E87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2F6E87"/>
    <w:rPr>
      <w:rFonts w:cs="Times New Roman"/>
      <w:b/>
      <w:bCs/>
      <w:i/>
      <w:iCs/>
      <w:color w:val="0058A9"/>
    </w:rPr>
  </w:style>
  <w:style w:type="character" w:customStyle="1" w:styleId="a8">
    <w:name w:val="Название Знак"/>
    <w:basedOn w:val="a0"/>
    <w:link w:val="a9"/>
    <w:qFormat/>
    <w:rsid w:val="002F6E87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a">
    <w:name w:val="Заголовок своего сообщения"/>
    <w:qFormat/>
    <w:rsid w:val="002F6E87"/>
    <w:rPr>
      <w:rFonts w:cs="Times New Roman"/>
      <w:b/>
      <w:bCs/>
      <w:color w:val="26282F"/>
    </w:rPr>
  </w:style>
  <w:style w:type="character" w:customStyle="1" w:styleId="ab">
    <w:name w:val="Заголовок чужого сообщения"/>
    <w:qFormat/>
    <w:rsid w:val="002F6E87"/>
    <w:rPr>
      <w:rFonts w:cs="Times New Roman"/>
      <w:b/>
      <w:bCs/>
      <w:color w:val="FF0000"/>
    </w:rPr>
  </w:style>
  <w:style w:type="character" w:customStyle="1" w:styleId="ac">
    <w:name w:val="Найденные слова"/>
    <w:qFormat/>
    <w:rsid w:val="002F6E87"/>
    <w:rPr>
      <w:rFonts w:cs="Times New Roman"/>
      <w:b/>
      <w:color w:val="26282F"/>
      <w:shd w:val="clear" w:color="auto" w:fill="FFF580"/>
    </w:rPr>
  </w:style>
  <w:style w:type="character" w:customStyle="1" w:styleId="ad">
    <w:name w:val="Не вступил в силу"/>
    <w:qFormat/>
    <w:rsid w:val="002F6E87"/>
    <w:rPr>
      <w:rFonts w:cs="Times New Roman"/>
      <w:b/>
      <w:color w:val="000000"/>
      <w:shd w:val="clear" w:color="auto" w:fill="D8EDE8"/>
    </w:rPr>
  </w:style>
  <w:style w:type="character" w:customStyle="1" w:styleId="ae">
    <w:name w:val="Опечатки"/>
    <w:qFormat/>
    <w:rsid w:val="002F6E87"/>
    <w:rPr>
      <w:color w:val="FF0000"/>
    </w:rPr>
  </w:style>
  <w:style w:type="character" w:customStyle="1" w:styleId="af">
    <w:name w:val="Продолжение ссылки"/>
    <w:basedOn w:val="a4"/>
    <w:qFormat/>
    <w:rsid w:val="002F6E87"/>
    <w:rPr>
      <w:rFonts w:cs="Times New Roman"/>
      <w:b/>
      <w:color w:val="106BBE"/>
    </w:rPr>
  </w:style>
  <w:style w:type="character" w:customStyle="1" w:styleId="af0">
    <w:name w:val="Сравнение редакций"/>
    <w:qFormat/>
    <w:rsid w:val="002F6E87"/>
    <w:rPr>
      <w:rFonts w:cs="Times New Roman"/>
      <w:b/>
      <w:color w:val="26282F"/>
    </w:rPr>
  </w:style>
  <w:style w:type="character" w:customStyle="1" w:styleId="af1">
    <w:name w:val="Сравнение редакций. Добавленный фрагмент"/>
    <w:qFormat/>
    <w:rsid w:val="002F6E87"/>
    <w:rPr>
      <w:color w:val="000000"/>
      <w:shd w:val="clear" w:color="auto" w:fill="C1D7FF"/>
    </w:rPr>
  </w:style>
  <w:style w:type="character" w:customStyle="1" w:styleId="af2">
    <w:name w:val="Сравнение редакций. Удаленный фрагмент"/>
    <w:qFormat/>
    <w:rsid w:val="002F6E87"/>
    <w:rPr>
      <w:color w:val="000000"/>
      <w:shd w:val="clear" w:color="auto" w:fill="C4C413"/>
    </w:rPr>
  </w:style>
  <w:style w:type="character" w:customStyle="1" w:styleId="af3">
    <w:name w:val="Утратил силу"/>
    <w:qFormat/>
    <w:rsid w:val="002F6E87"/>
    <w:rPr>
      <w:rFonts w:cs="Times New Roman"/>
      <w:b/>
      <w:strike/>
      <w:color w:val="666600"/>
    </w:rPr>
  </w:style>
  <w:style w:type="character" w:customStyle="1" w:styleId="af4">
    <w:name w:val="Верхний колонтитул Знак"/>
    <w:basedOn w:val="a0"/>
    <w:link w:val="10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12"/>
    <w:uiPriority w:val="99"/>
    <w:qFormat/>
    <w:rsid w:val="002F6E87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page number"/>
    <w:qFormat/>
    <w:rsid w:val="002F6E87"/>
    <w:rPr>
      <w:rFonts w:cs="Times New Roman"/>
    </w:rPr>
  </w:style>
  <w:style w:type="character" w:styleId="af7">
    <w:name w:val="annotation reference"/>
    <w:uiPriority w:val="99"/>
    <w:semiHidden/>
    <w:qFormat/>
    <w:rsid w:val="002F6E87"/>
    <w:rPr>
      <w:rFonts w:cs="Times New Roman"/>
      <w:sz w:val="16"/>
      <w:szCs w:val="16"/>
    </w:rPr>
  </w:style>
  <w:style w:type="character" w:customStyle="1" w:styleId="af8">
    <w:name w:val="Текст примечания Знак"/>
    <w:basedOn w:val="a0"/>
    <w:link w:val="af9"/>
    <w:uiPriority w:val="99"/>
    <w:semiHidden/>
    <w:qFormat/>
    <w:rsid w:val="002F6E87"/>
    <w:rPr>
      <w:rFonts w:ascii="Arial" w:eastAsia="Times New Roman" w:hAnsi="Arial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semiHidden/>
    <w:qFormat/>
    <w:rsid w:val="002F6E8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fc">
    <w:name w:val="Текст выноски Знак"/>
    <w:basedOn w:val="a0"/>
    <w:link w:val="afd"/>
    <w:semiHidden/>
    <w:qFormat/>
    <w:rsid w:val="002F6E87"/>
    <w:rPr>
      <w:rFonts w:ascii="Tahoma" w:eastAsia="Times New Roman" w:hAnsi="Tahoma" w:cs="Times New Roman"/>
      <w:sz w:val="16"/>
      <w:szCs w:val="16"/>
    </w:rPr>
  </w:style>
  <w:style w:type="character" w:customStyle="1" w:styleId="13">
    <w:name w:val="Основной текст Знак1"/>
    <w:qFormat/>
    <w:rsid w:val="002F6E87"/>
    <w:rPr>
      <w:rFonts w:ascii="Times New Roman" w:hAnsi="Times New Roman" w:cs="Times New Roman"/>
      <w:shd w:val="clear" w:color="auto" w:fill="FFFFFF"/>
    </w:rPr>
  </w:style>
  <w:style w:type="character" w:customStyle="1" w:styleId="afe">
    <w:name w:val="Основной текст Знак"/>
    <w:basedOn w:val="a0"/>
    <w:link w:val="aff"/>
    <w:qFormat/>
    <w:rsid w:val="002F6E87"/>
    <w:rPr>
      <w:rFonts w:ascii="Times New Roman" w:eastAsia="Times New Roman" w:hAnsi="Times New Roman" w:cs="Times New Roman"/>
      <w:b/>
      <w:bCs/>
      <w:sz w:val="10"/>
      <w:szCs w:val="10"/>
    </w:rPr>
  </w:style>
  <w:style w:type="character" w:styleId="aff0">
    <w:name w:val="Hyperlink"/>
    <w:uiPriority w:val="99"/>
    <w:rsid w:val="002F6E87"/>
    <w:rPr>
      <w:color w:val="0000FF"/>
      <w:u w:val="single"/>
    </w:rPr>
  </w:style>
  <w:style w:type="character" w:customStyle="1" w:styleId="s10">
    <w:name w:val="s_10"/>
    <w:qFormat/>
    <w:rsid w:val="002F6E87"/>
  </w:style>
  <w:style w:type="character" w:customStyle="1" w:styleId="aff1">
    <w:name w:val="Текст сноски Знак"/>
    <w:basedOn w:val="a0"/>
    <w:link w:val="14"/>
    <w:uiPriority w:val="99"/>
    <w:qFormat/>
    <w:rsid w:val="002F6E87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2F6E87"/>
    <w:rPr>
      <w:vertAlign w:val="superscript"/>
    </w:rPr>
  </w:style>
  <w:style w:type="character" w:customStyle="1" w:styleId="15">
    <w:name w:val="Знак сноски1"/>
    <w:qFormat/>
    <w:rsid w:val="005442B5"/>
    <w:rPr>
      <w:vertAlign w:val="superscript"/>
    </w:rPr>
  </w:style>
  <w:style w:type="character" w:customStyle="1" w:styleId="s11">
    <w:name w:val="s_11"/>
    <w:qFormat/>
    <w:rsid w:val="002F6E87"/>
  </w:style>
  <w:style w:type="character" w:customStyle="1" w:styleId="30">
    <w:name w:val="Основной текст с отступом 3 Знак"/>
    <w:basedOn w:val="a0"/>
    <w:link w:val="32"/>
    <w:uiPriority w:val="99"/>
    <w:semiHidden/>
    <w:qFormat/>
    <w:rsid w:val="005D44C2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f2">
    <w:name w:val="Без интервала Знак"/>
    <w:link w:val="aff3"/>
    <w:qFormat/>
    <w:rsid w:val="00700168"/>
    <w:rPr>
      <w:rFonts w:ascii="Calibri" w:eastAsia="Times New Roman" w:hAnsi="Calibri" w:cs="Times New Roman"/>
      <w:lang w:eastAsia="ru-RU"/>
    </w:rPr>
  </w:style>
  <w:style w:type="character" w:customStyle="1" w:styleId="5">
    <w:name w:val="Заголовок 5 Знак"/>
    <w:basedOn w:val="a0"/>
    <w:link w:val="51"/>
    <w:uiPriority w:val="9"/>
    <w:qFormat/>
    <w:rsid w:val="00BF50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16">
    <w:name w:val="Знак концевой сноски1"/>
    <w:qFormat/>
    <w:rsid w:val="005442B5"/>
    <w:rPr>
      <w:vertAlign w:val="superscript"/>
    </w:rPr>
  </w:style>
  <w:style w:type="character" w:customStyle="1" w:styleId="EndnoteCharacters">
    <w:name w:val="Endnote Characters"/>
    <w:qFormat/>
    <w:rsid w:val="005442B5"/>
  </w:style>
  <w:style w:type="character" w:customStyle="1" w:styleId="FootnoteReference">
    <w:name w:val="Footnote Reference"/>
    <w:rsid w:val="00B47989"/>
    <w:rPr>
      <w:vertAlign w:val="superscript"/>
    </w:rPr>
  </w:style>
  <w:style w:type="character" w:customStyle="1" w:styleId="EndnoteReference">
    <w:name w:val="Endnote Reference"/>
    <w:rsid w:val="00B47989"/>
    <w:rPr>
      <w:vertAlign w:val="superscript"/>
    </w:rPr>
  </w:style>
  <w:style w:type="paragraph" w:customStyle="1" w:styleId="Heading">
    <w:name w:val="Heading"/>
    <w:basedOn w:val="a"/>
    <w:next w:val="aff"/>
    <w:qFormat/>
    <w:rsid w:val="005442B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f">
    <w:name w:val="Body Text"/>
    <w:basedOn w:val="a"/>
    <w:link w:val="afe"/>
    <w:rsid w:val="002F6E87"/>
    <w:pPr>
      <w:pBdr>
        <w:bottom w:val="single" w:sz="18" w:space="1" w:color="000000"/>
      </w:pBdr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paragraph" w:styleId="aff4">
    <w:name w:val="List"/>
    <w:basedOn w:val="a"/>
    <w:unhideWhenUsed/>
    <w:rsid w:val="002F6E87"/>
    <w:pPr>
      <w:widowControl/>
      <w:ind w:left="283" w:hanging="283"/>
      <w:jc w:val="left"/>
    </w:pPr>
    <w:rPr>
      <w:rFonts w:ascii="Times New Roman" w:hAnsi="Times New Roman" w:cs="Times New Roman"/>
      <w:lang w:eastAsia="ar-SA"/>
    </w:rPr>
  </w:style>
  <w:style w:type="paragraph" w:customStyle="1" w:styleId="Caption">
    <w:name w:val="Caption"/>
    <w:basedOn w:val="a"/>
    <w:qFormat/>
    <w:rsid w:val="00B4798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442B5"/>
    <w:pPr>
      <w:suppressLineNumbers/>
    </w:pPr>
  </w:style>
  <w:style w:type="paragraph" w:customStyle="1" w:styleId="11">
    <w:name w:val="Заголовок 11"/>
    <w:basedOn w:val="a"/>
    <w:next w:val="a"/>
    <w:link w:val="1"/>
    <w:qFormat/>
    <w:rsid w:val="002F6E87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11"/>
    <w:next w:val="a"/>
    <w:link w:val="2"/>
    <w:qFormat/>
    <w:rsid w:val="002F6E87"/>
    <w:pPr>
      <w:outlineLvl w:val="1"/>
    </w:pPr>
    <w:rPr>
      <w:i/>
      <w:iCs/>
      <w:kern w:val="0"/>
      <w:sz w:val="28"/>
      <w:szCs w:val="28"/>
    </w:rPr>
  </w:style>
  <w:style w:type="paragraph" w:customStyle="1" w:styleId="31">
    <w:name w:val="Заголовок 31"/>
    <w:basedOn w:val="21"/>
    <w:next w:val="a"/>
    <w:link w:val="3"/>
    <w:qFormat/>
    <w:rsid w:val="002F6E87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next w:val="a"/>
    <w:link w:val="4"/>
    <w:qFormat/>
    <w:rsid w:val="002F6E87"/>
    <w:pPr>
      <w:outlineLvl w:val="3"/>
    </w:pPr>
    <w:rPr>
      <w:rFonts w:ascii="Calibri" w:hAnsi="Calibri"/>
      <w:sz w:val="28"/>
      <w:szCs w:val="28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BF5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17">
    <w:name w:val="Название объекта1"/>
    <w:basedOn w:val="a"/>
    <w:qFormat/>
    <w:rsid w:val="005442B5"/>
    <w:pPr>
      <w:suppressLineNumbers/>
      <w:spacing w:before="120" w:after="120"/>
    </w:pPr>
    <w:rPr>
      <w:i/>
      <w:iCs/>
    </w:rPr>
  </w:style>
  <w:style w:type="paragraph" w:customStyle="1" w:styleId="aff5">
    <w:name w:val="Внимание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6">
    <w:name w:val="Внимание: криминал!!"/>
    <w:basedOn w:val="aff5"/>
    <w:next w:val="a"/>
    <w:qFormat/>
    <w:rsid w:val="002F6E87"/>
  </w:style>
  <w:style w:type="paragraph" w:customStyle="1" w:styleId="aff7">
    <w:name w:val="Внимание: недобросовестность!"/>
    <w:basedOn w:val="aff5"/>
    <w:next w:val="a"/>
    <w:qFormat/>
    <w:rsid w:val="002F6E87"/>
  </w:style>
  <w:style w:type="paragraph" w:customStyle="1" w:styleId="aff8">
    <w:name w:val="Дочерний элемент списка"/>
    <w:basedOn w:val="a"/>
    <w:next w:val="a"/>
    <w:qFormat/>
    <w:rsid w:val="002F6E87"/>
    <w:pPr>
      <w:ind w:firstLine="0"/>
    </w:pPr>
    <w:rPr>
      <w:color w:val="868381"/>
      <w:sz w:val="20"/>
      <w:szCs w:val="20"/>
    </w:rPr>
  </w:style>
  <w:style w:type="paragraph" w:customStyle="1" w:styleId="aff9">
    <w:name w:val="Основное меню (преемственное)"/>
    <w:basedOn w:val="a"/>
    <w:next w:val="a"/>
    <w:qFormat/>
    <w:rsid w:val="002F6E87"/>
    <w:rPr>
      <w:rFonts w:ascii="Verdana" w:hAnsi="Verdana" w:cs="Verdana"/>
      <w:sz w:val="22"/>
      <w:szCs w:val="22"/>
    </w:rPr>
  </w:style>
  <w:style w:type="paragraph" w:styleId="a9">
    <w:name w:val="Title"/>
    <w:basedOn w:val="aff9"/>
    <w:next w:val="a"/>
    <w:link w:val="a8"/>
    <w:qFormat/>
    <w:rsid w:val="002F6E87"/>
    <w:rPr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qFormat/>
    <w:rsid w:val="002F6E87"/>
    <w:rPr>
      <w:b/>
      <w:bCs/>
      <w:color w:val="000000"/>
    </w:rPr>
  </w:style>
  <w:style w:type="paragraph" w:customStyle="1" w:styleId="affb">
    <w:name w:val="Заголовок для информации об изменениях"/>
    <w:basedOn w:val="11"/>
    <w:next w:val="a"/>
    <w:qFormat/>
    <w:rsid w:val="002F6E8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c">
    <w:name w:val="Заголовок распахивающейся части диалога"/>
    <w:basedOn w:val="a"/>
    <w:next w:val="a"/>
    <w:qFormat/>
    <w:rsid w:val="002F6E87"/>
    <w:rPr>
      <w:i/>
      <w:iCs/>
      <w:color w:val="000080"/>
      <w:sz w:val="22"/>
      <w:szCs w:val="22"/>
    </w:rPr>
  </w:style>
  <w:style w:type="paragraph" w:customStyle="1" w:styleId="affd">
    <w:name w:val="Заголовок статьи"/>
    <w:basedOn w:val="a"/>
    <w:next w:val="a"/>
    <w:qFormat/>
    <w:rsid w:val="002F6E87"/>
    <w:pPr>
      <w:ind w:left="1612" w:hanging="892"/>
    </w:pPr>
  </w:style>
  <w:style w:type="paragraph" w:customStyle="1" w:styleId="affe">
    <w:name w:val="Заголовок ЭР (левое окно)"/>
    <w:basedOn w:val="a"/>
    <w:next w:val="a"/>
    <w:qFormat/>
    <w:rsid w:val="002F6E8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qFormat/>
    <w:rsid w:val="002F6E87"/>
    <w:pPr>
      <w:spacing w:after="0"/>
      <w:jc w:val="left"/>
    </w:pPr>
  </w:style>
  <w:style w:type="paragraph" w:customStyle="1" w:styleId="afff0">
    <w:name w:val="Интерактивный заголовок"/>
    <w:basedOn w:val="a9"/>
    <w:next w:val="a"/>
    <w:qFormat/>
    <w:rsid w:val="002F6E87"/>
    <w:rPr>
      <w:u w:val="single"/>
    </w:rPr>
  </w:style>
  <w:style w:type="paragraph" w:customStyle="1" w:styleId="afff1">
    <w:name w:val="Текст информации об изменениях"/>
    <w:basedOn w:val="a"/>
    <w:next w:val="a"/>
    <w:qFormat/>
    <w:rsid w:val="002F6E87"/>
    <w:rPr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qFormat/>
    <w:rsid w:val="002F6E8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qFormat/>
    <w:rsid w:val="002F6E87"/>
    <w:pPr>
      <w:ind w:left="170" w:right="170" w:firstLine="0"/>
      <w:jc w:val="left"/>
    </w:pPr>
  </w:style>
  <w:style w:type="paragraph" w:customStyle="1" w:styleId="afff4">
    <w:name w:val="Комментарий"/>
    <w:basedOn w:val="afff3"/>
    <w:next w:val="a"/>
    <w:qFormat/>
    <w:rsid w:val="002F6E8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qFormat/>
    <w:rsid w:val="002F6E87"/>
    <w:rPr>
      <w:i/>
      <w:iCs/>
    </w:rPr>
  </w:style>
  <w:style w:type="paragraph" w:customStyle="1" w:styleId="afff6">
    <w:name w:val="Текст (лев. подпись)"/>
    <w:basedOn w:val="a"/>
    <w:next w:val="a"/>
    <w:qFormat/>
    <w:rsid w:val="002F6E87"/>
    <w:pPr>
      <w:ind w:firstLine="0"/>
      <w:jc w:val="left"/>
    </w:pPr>
  </w:style>
  <w:style w:type="paragraph" w:customStyle="1" w:styleId="afff7">
    <w:name w:val="Колонтитул (левый)"/>
    <w:basedOn w:val="afff6"/>
    <w:next w:val="a"/>
    <w:qFormat/>
    <w:rsid w:val="002F6E87"/>
    <w:rPr>
      <w:sz w:val="14"/>
      <w:szCs w:val="14"/>
    </w:rPr>
  </w:style>
  <w:style w:type="paragraph" w:customStyle="1" w:styleId="afff8">
    <w:name w:val="Текст (прав. подпись)"/>
    <w:basedOn w:val="a"/>
    <w:next w:val="a"/>
    <w:qFormat/>
    <w:rsid w:val="002F6E87"/>
    <w:pPr>
      <w:ind w:firstLine="0"/>
      <w:jc w:val="right"/>
    </w:pPr>
  </w:style>
  <w:style w:type="paragraph" w:customStyle="1" w:styleId="afff9">
    <w:name w:val="Колонтитул (правый)"/>
    <w:basedOn w:val="afff8"/>
    <w:next w:val="a"/>
    <w:qFormat/>
    <w:rsid w:val="002F6E87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qFormat/>
    <w:rsid w:val="002F6E87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5"/>
    <w:next w:val="a"/>
    <w:qFormat/>
    <w:rsid w:val="002F6E87"/>
  </w:style>
  <w:style w:type="paragraph" w:customStyle="1" w:styleId="afffc">
    <w:name w:val="Моноширинный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ff5"/>
    <w:next w:val="a"/>
    <w:qFormat/>
    <w:rsid w:val="002F6E87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qFormat/>
    <w:rsid w:val="002F6E87"/>
    <w:pPr>
      <w:ind w:firstLine="0"/>
    </w:pPr>
  </w:style>
  <w:style w:type="paragraph" w:customStyle="1" w:styleId="affff">
    <w:name w:val="Таблицы (моноширинный)"/>
    <w:basedOn w:val="a"/>
    <w:next w:val="a"/>
    <w:qFormat/>
    <w:rsid w:val="002F6E87"/>
    <w:pPr>
      <w:ind w:firstLine="0"/>
      <w:jc w:val="left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next w:val="a"/>
    <w:qFormat/>
    <w:rsid w:val="002F6E87"/>
    <w:pPr>
      <w:ind w:left="140"/>
    </w:pPr>
  </w:style>
  <w:style w:type="paragraph" w:customStyle="1" w:styleId="affff1">
    <w:name w:val="Переменная часть"/>
    <w:basedOn w:val="aff9"/>
    <w:next w:val="a"/>
    <w:qFormat/>
    <w:rsid w:val="002F6E87"/>
    <w:rPr>
      <w:sz w:val="18"/>
      <w:szCs w:val="18"/>
    </w:rPr>
  </w:style>
  <w:style w:type="paragraph" w:customStyle="1" w:styleId="affff2">
    <w:name w:val="Подвал для информации об изменениях"/>
    <w:basedOn w:val="11"/>
    <w:next w:val="a"/>
    <w:qFormat/>
    <w:rsid w:val="002F6E87"/>
    <w:pPr>
      <w:outlineLvl w:val="9"/>
    </w:pPr>
    <w:rPr>
      <w:b w:val="0"/>
      <w:bCs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f1"/>
    <w:next w:val="a"/>
    <w:qFormat/>
    <w:rsid w:val="002F6E87"/>
    <w:rPr>
      <w:b/>
      <w:bCs/>
    </w:rPr>
  </w:style>
  <w:style w:type="paragraph" w:customStyle="1" w:styleId="affff4">
    <w:name w:val="Подчёркнуный текст"/>
    <w:basedOn w:val="a"/>
    <w:next w:val="a"/>
    <w:qFormat/>
    <w:rsid w:val="002F6E87"/>
  </w:style>
  <w:style w:type="paragraph" w:customStyle="1" w:styleId="affff5">
    <w:name w:val="Постоянная часть"/>
    <w:basedOn w:val="aff9"/>
    <w:next w:val="a"/>
    <w:qFormat/>
    <w:rsid w:val="002F6E87"/>
    <w:rPr>
      <w:sz w:val="20"/>
      <w:szCs w:val="20"/>
    </w:rPr>
  </w:style>
  <w:style w:type="paragraph" w:customStyle="1" w:styleId="affff6">
    <w:name w:val="Прижатый влево"/>
    <w:basedOn w:val="a"/>
    <w:next w:val="a"/>
    <w:qFormat/>
    <w:rsid w:val="002F6E87"/>
    <w:pPr>
      <w:ind w:firstLine="0"/>
      <w:jc w:val="left"/>
    </w:pPr>
  </w:style>
  <w:style w:type="paragraph" w:customStyle="1" w:styleId="affff7">
    <w:name w:val="Пример."/>
    <w:basedOn w:val="aff5"/>
    <w:next w:val="a"/>
    <w:qFormat/>
    <w:rsid w:val="002F6E87"/>
  </w:style>
  <w:style w:type="paragraph" w:customStyle="1" w:styleId="affff8">
    <w:name w:val="Примечание."/>
    <w:basedOn w:val="aff5"/>
    <w:next w:val="a"/>
    <w:qFormat/>
    <w:rsid w:val="002F6E87"/>
  </w:style>
  <w:style w:type="paragraph" w:customStyle="1" w:styleId="affff9">
    <w:name w:val="Словарная статья"/>
    <w:basedOn w:val="a"/>
    <w:next w:val="a"/>
    <w:qFormat/>
    <w:rsid w:val="002F6E87"/>
    <w:pPr>
      <w:ind w:right="118" w:firstLine="0"/>
    </w:pPr>
  </w:style>
  <w:style w:type="paragraph" w:customStyle="1" w:styleId="affffa">
    <w:name w:val="Ссылка на официальную публикацию"/>
    <w:basedOn w:val="a"/>
    <w:next w:val="a"/>
    <w:qFormat/>
    <w:rsid w:val="002F6E87"/>
  </w:style>
  <w:style w:type="paragraph" w:customStyle="1" w:styleId="affffb">
    <w:name w:val="Текст в таблице"/>
    <w:basedOn w:val="afffe"/>
    <w:next w:val="a"/>
    <w:qFormat/>
    <w:rsid w:val="002F6E87"/>
    <w:pPr>
      <w:ind w:firstLine="500"/>
    </w:pPr>
  </w:style>
  <w:style w:type="paragraph" w:customStyle="1" w:styleId="affffc">
    <w:name w:val="Текст ЭР (см. также)"/>
    <w:basedOn w:val="a"/>
    <w:next w:val="a"/>
    <w:qFormat/>
    <w:rsid w:val="002F6E87"/>
    <w:pPr>
      <w:spacing w:before="200"/>
      <w:ind w:firstLine="0"/>
      <w:jc w:val="left"/>
    </w:pPr>
    <w:rPr>
      <w:sz w:val="20"/>
      <w:szCs w:val="20"/>
    </w:rPr>
  </w:style>
  <w:style w:type="paragraph" w:customStyle="1" w:styleId="affffd">
    <w:name w:val="Технический комментарий"/>
    <w:basedOn w:val="a"/>
    <w:next w:val="a"/>
    <w:qFormat/>
    <w:rsid w:val="002F6E87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e">
    <w:name w:val="Формула"/>
    <w:basedOn w:val="a"/>
    <w:next w:val="a"/>
    <w:qFormat/>
    <w:rsid w:val="002F6E8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f">
    <w:name w:val="Центрированный (таблица)"/>
    <w:basedOn w:val="afffe"/>
    <w:next w:val="a"/>
    <w:qFormat/>
    <w:rsid w:val="002F6E87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2F6E87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5442B5"/>
  </w:style>
  <w:style w:type="paragraph" w:customStyle="1" w:styleId="10">
    <w:name w:val="Верхний колонтитул1"/>
    <w:basedOn w:val="a"/>
    <w:link w:val="af4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12">
    <w:name w:val="Нижний колонтитул1"/>
    <w:basedOn w:val="a"/>
    <w:link w:val="af5"/>
    <w:uiPriority w:val="99"/>
    <w:qFormat/>
    <w:rsid w:val="002F6E87"/>
    <w:pPr>
      <w:tabs>
        <w:tab w:val="center" w:pos="4153"/>
        <w:tab w:val="right" w:pos="8306"/>
      </w:tabs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rsid w:val="002F6E8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Без интервала1"/>
    <w:qFormat/>
    <w:rsid w:val="002F6E87"/>
    <w:rPr>
      <w:rFonts w:eastAsia="Times New Roman" w:cs="Times New Roman"/>
    </w:rPr>
  </w:style>
  <w:style w:type="paragraph" w:styleId="af9">
    <w:name w:val="annotation text"/>
    <w:basedOn w:val="a"/>
    <w:link w:val="af8"/>
    <w:uiPriority w:val="99"/>
    <w:semiHidden/>
    <w:qFormat/>
    <w:rsid w:val="002F6E87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2F6E87"/>
    <w:rPr>
      <w:b/>
      <w:bCs/>
    </w:rPr>
  </w:style>
  <w:style w:type="paragraph" w:styleId="afd">
    <w:name w:val="Balloon Text"/>
    <w:basedOn w:val="a"/>
    <w:link w:val="afc"/>
    <w:semiHidden/>
    <w:qFormat/>
    <w:rsid w:val="002F6E87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qFormat/>
    <w:rsid w:val="002F6E87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qFormat/>
    <w:rsid w:val="002F6E87"/>
    <w:pPr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19">
    <w:name w:val="Абзац списка1"/>
    <w:basedOn w:val="a"/>
    <w:qFormat/>
    <w:rsid w:val="002F6E87"/>
    <w:pPr>
      <w:ind w:left="720"/>
    </w:pPr>
  </w:style>
  <w:style w:type="paragraph" w:styleId="afffff0">
    <w:name w:val="List Paragraph"/>
    <w:basedOn w:val="a"/>
    <w:uiPriority w:val="34"/>
    <w:qFormat/>
    <w:rsid w:val="002F6E87"/>
    <w:pPr>
      <w:widowControl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qFormat/>
    <w:rsid w:val="002F6E8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s16">
    <w:name w:val="s_16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4">
    <w:name w:val="Текст сноски1"/>
    <w:basedOn w:val="a"/>
    <w:link w:val="aff1"/>
    <w:uiPriority w:val="99"/>
    <w:unhideWhenUsed/>
    <w:qFormat/>
    <w:rsid w:val="002F6E87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s1">
    <w:name w:val="s_1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empty">
    <w:name w:val="empty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qFormat/>
    <w:rsid w:val="002F6E87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2F6E87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qFormat/>
    <w:rsid w:val="002F6E87"/>
    <w:pPr>
      <w:widowControl w:val="0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qFormat/>
    <w:rsid w:val="002F6E87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2F6E87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110">
    <w:name w:val="Без интервала11"/>
    <w:qFormat/>
    <w:rsid w:val="002F6E87"/>
    <w:rPr>
      <w:rFonts w:eastAsia="Times New Roman" w:cs="Times New Roman"/>
      <w:lang w:eastAsia="ru-RU"/>
    </w:rPr>
  </w:style>
  <w:style w:type="paragraph" w:customStyle="1" w:styleId="1a">
    <w:name w:val="Обычный (веб)1"/>
    <w:basedOn w:val="a"/>
    <w:qFormat/>
    <w:rsid w:val="00716FCC"/>
    <w:pPr>
      <w:widowControl/>
      <w:spacing w:before="100" w:after="100" w:line="100" w:lineRule="atLeast"/>
      <w:ind w:firstLine="0"/>
      <w:jc w:val="left"/>
    </w:pPr>
    <w:rPr>
      <w:rFonts w:ascii="Times New Roman" w:eastAsia="Calibri" w:hAnsi="Times New Roman" w:cs="Times New Roman"/>
      <w:lang w:eastAsia="ar-SA"/>
    </w:rPr>
  </w:style>
  <w:style w:type="paragraph" w:styleId="aff3">
    <w:name w:val="No Spacing"/>
    <w:link w:val="aff2"/>
    <w:qFormat/>
    <w:rsid w:val="005D44C2"/>
    <w:rPr>
      <w:rFonts w:eastAsia="Times New Roman" w:cs="Times New Roman"/>
      <w:lang w:eastAsia="ru-RU"/>
    </w:rPr>
  </w:style>
  <w:style w:type="paragraph" w:styleId="afffff1">
    <w:name w:val="Normal (Web)"/>
    <w:basedOn w:val="a"/>
    <w:uiPriority w:val="99"/>
    <w:qFormat/>
    <w:rsid w:val="005D44C2"/>
    <w:pPr>
      <w:widowControl/>
      <w:spacing w:before="36" w:after="36"/>
      <w:ind w:firstLine="0"/>
      <w:jc w:val="left"/>
    </w:pPr>
    <w:rPr>
      <w:color w:val="332E2D"/>
      <w:spacing w:val="2"/>
    </w:rPr>
  </w:style>
  <w:style w:type="paragraph" w:styleId="32">
    <w:name w:val="Body Text Indent 3"/>
    <w:basedOn w:val="a"/>
    <w:link w:val="30"/>
    <w:uiPriority w:val="99"/>
    <w:semiHidden/>
    <w:unhideWhenUsed/>
    <w:qFormat/>
    <w:rsid w:val="005D44C2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890DD8"/>
    <w:pPr>
      <w:widowControl w:val="0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Header">
    <w:name w:val="Header"/>
    <w:basedOn w:val="HeaderandFooter"/>
    <w:rsid w:val="00B47989"/>
  </w:style>
  <w:style w:type="paragraph" w:customStyle="1" w:styleId="FootnoteText">
    <w:name w:val="Footnote Text"/>
    <w:basedOn w:val="a"/>
    <w:rsid w:val="00B47989"/>
  </w:style>
  <w:style w:type="table" w:styleId="afffff2">
    <w:name w:val="Table Grid"/>
    <w:basedOn w:val="a1"/>
    <w:uiPriority w:val="39"/>
    <w:rsid w:val="002F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F6E87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C201-5091-408B-A4ED-12E2B729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2427</Words>
  <Characters>13837</Characters>
  <Application>Microsoft Office Word</Application>
  <DocSecurity>0</DocSecurity>
  <Lines>115</Lines>
  <Paragraphs>32</Paragraphs>
  <ScaleCrop>false</ScaleCrop>
  <Company>Microsoft</Company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Карпенко</cp:lastModifiedBy>
  <cp:revision>2</cp:revision>
  <cp:lastPrinted>2024-02-05T11:23:00Z</cp:lastPrinted>
  <dcterms:created xsi:type="dcterms:W3CDTF">2024-07-19T05:08:00Z</dcterms:created>
  <dcterms:modified xsi:type="dcterms:W3CDTF">2024-07-19T05:08:00Z</dcterms:modified>
  <dc:language>ru-RU</dc:language>
</cp:coreProperties>
</file>