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00"/>
      </w:tblGrid>
      <w:tr w:rsidR="00E30395">
        <w:trPr>
          <w:cantSplit/>
          <w:trHeight w:val="1338"/>
        </w:trPr>
        <w:tc>
          <w:tcPr>
            <w:tcW w:w="9300" w:type="dxa"/>
            <w:tcBorders>
              <w:bottom w:val="double" w:sz="12" w:space="0" w:color="000000"/>
            </w:tcBorders>
          </w:tcPr>
          <w:p w:rsidR="00E30395" w:rsidRDefault="00AB062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page">
                    <wp:posOffset>3491865</wp:posOffset>
                  </wp:positionH>
                  <wp:positionV relativeFrom="page">
                    <wp:posOffset>2160270</wp:posOffset>
                  </wp:positionV>
                  <wp:extent cx="2924175" cy="360045"/>
                  <wp:effectExtent l="0" t="0" r="0" b="0"/>
                  <wp:wrapNone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30395" w:rsidRDefault="00AB062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30395" w:rsidRDefault="00AB062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E30395" w:rsidRDefault="00AB062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РАЙОНА ОРЕНБУРГСКОЙ ОБЛАСТИ</w:t>
            </w:r>
          </w:p>
        </w:tc>
      </w:tr>
      <w:tr w:rsidR="00E30395">
        <w:trPr>
          <w:cantSplit/>
          <w:trHeight w:val="1049"/>
        </w:trPr>
        <w:tc>
          <w:tcPr>
            <w:tcW w:w="9300" w:type="dxa"/>
            <w:vAlign w:val="bottom"/>
          </w:tcPr>
          <w:p w:rsidR="00E30395" w:rsidRDefault="00E30395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E30395" w:rsidRDefault="00AB062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30395" w:rsidRDefault="00AB062F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МЕСТО ДЛЯ ШТАМПА</w:t>
            </w:r>
            <w:r>
              <w:rPr>
                <w:sz w:val="16"/>
                <w:szCs w:val="16"/>
                <w:lang w:val="en-US"/>
              </w:rPr>
              <w:t>]</w:t>
            </w:r>
            <w:proofErr w:type="gramEnd"/>
          </w:p>
          <w:p w:rsidR="00E30395" w:rsidRDefault="00E30395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30395" w:rsidRDefault="00AB06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 правил отчуждения  древесины, находящейся в муниц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пальной собственности, полученной из </w:t>
      </w:r>
      <w:r>
        <w:rPr>
          <w:rFonts w:ascii="Times New Roman" w:hAnsi="Times New Roman" w:cs="Times New Roman"/>
          <w:b w:val="0"/>
          <w:sz w:val="28"/>
          <w:szCs w:val="28"/>
        </w:rPr>
        <w:t>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</w:p>
    <w:p w:rsidR="00E30395" w:rsidRDefault="00E30395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0395" w:rsidRDefault="00AB062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г. N 35-ФЗ "О внесении изменений в отдельные законодательные акты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Федерации" и руководствуясь Уставом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Беляевского сельсовета:</w:t>
      </w:r>
    </w:p>
    <w:p w:rsidR="00E30395" w:rsidRDefault="00AB062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отчуждения древесины, находящейся в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 собственности, полученной из срубленных, спиленных, срезанных стволов деревьев, произрастающих на земельных участках (и</w:t>
      </w:r>
      <w:r>
        <w:rPr>
          <w:rFonts w:ascii="Times New Roman" w:hAnsi="Times New Roman" w:cs="Times New Roman"/>
          <w:sz w:val="28"/>
          <w:szCs w:val="28"/>
        </w:rPr>
        <w:t>х частях) или землях, находящихся в муниципальной  собственности, согласно прилож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нию.</w:t>
      </w:r>
    </w:p>
    <w:p w:rsidR="00E30395" w:rsidRDefault="00AB062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исполнения настоящего постановления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тавляю за собой.</w:t>
      </w:r>
    </w:p>
    <w:p w:rsidR="00E30395" w:rsidRDefault="00AB062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и подл</w:t>
      </w:r>
      <w:r>
        <w:rPr>
          <w:rFonts w:ascii="Times New Roman" w:hAnsi="Times New Roman" w:cs="Times New Roman"/>
          <w:sz w:val="28"/>
          <w:szCs w:val="28"/>
        </w:rPr>
        <w:t>ежит размещению на официальном сайте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 Беляевского сельсовета в сети «Интернет».</w:t>
      </w:r>
    </w:p>
    <w:p w:rsidR="00E30395" w:rsidRDefault="00E3039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0395" w:rsidRDefault="00E30395">
      <w:pPr>
        <w:jc w:val="both"/>
        <w:rPr>
          <w:sz w:val="28"/>
          <w:szCs w:val="28"/>
        </w:rPr>
      </w:pPr>
    </w:p>
    <w:p w:rsidR="00E30395" w:rsidRDefault="00E30395"/>
    <w:tbl>
      <w:tblPr>
        <w:tblW w:w="9435" w:type="dxa"/>
        <w:tblInd w:w="217" w:type="dxa"/>
        <w:tblLayout w:type="fixed"/>
        <w:tblLook w:val="04A0"/>
      </w:tblPr>
      <w:tblGrid>
        <w:gridCol w:w="4758"/>
        <w:gridCol w:w="4677"/>
      </w:tblGrid>
      <w:tr w:rsidR="00E30395">
        <w:trPr>
          <w:trHeight w:val="477"/>
        </w:trPr>
        <w:tc>
          <w:tcPr>
            <w:tcW w:w="4757" w:type="dxa"/>
          </w:tcPr>
          <w:p w:rsidR="00E30395" w:rsidRDefault="00AB062F">
            <w:pPr>
              <w:widowControl w:val="0"/>
              <w:tabs>
                <w:tab w:val="left" w:pos="3836"/>
              </w:tabs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4677" w:type="dxa"/>
          </w:tcPr>
          <w:p w:rsidR="00E30395" w:rsidRDefault="00BC3C14">
            <w:pPr>
              <w:widowControl w:val="0"/>
              <w:tabs>
                <w:tab w:val="left" w:pos="3836"/>
              </w:tabs>
              <w:spacing w:line="276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                                      </w:t>
            </w:r>
            <w:r w:rsidR="00AB062F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М.Х. </w:t>
            </w:r>
            <w:proofErr w:type="spellStart"/>
            <w:r w:rsidR="00AB062F">
              <w:rPr>
                <w:rFonts w:eastAsiaTheme="minorHAnsi" w:cstheme="minorBidi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E30395" w:rsidRDefault="00BC3C14">
      <w:pPr>
        <w:suppressAutoHyphens w:val="0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7924800</wp:posOffset>
            </wp:positionH>
            <wp:positionV relativeFrom="page">
              <wp:posOffset>7315200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395" w:rsidRDefault="00E30395"/>
    <w:p w:rsidR="00E30395" w:rsidRDefault="00E30395"/>
    <w:p w:rsidR="00E30395" w:rsidRDefault="00E30395"/>
    <w:tbl>
      <w:tblPr>
        <w:tblW w:w="9570" w:type="dxa"/>
        <w:tblInd w:w="217" w:type="dxa"/>
        <w:tblLayout w:type="fixed"/>
        <w:tblLook w:val="04A0"/>
      </w:tblPr>
      <w:tblGrid>
        <w:gridCol w:w="1520"/>
        <w:gridCol w:w="8050"/>
      </w:tblGrid>
      <w:tr w:rsidR="00E30395">
        <w:trPr>
          <w:trHeight w:val="87"/>
        </w:trPr>
        <w:tc>
          <w:tcPr>
            <w:tcW w:w="1520" w:type="dxa"/>
          </w:tcPr>
          <w:p w:rsidR="00E30395" w:rsidRDefault="00E30395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:rsidR="00E30395" w:rsidRDefault="00E30395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:rsidR="00BC3C14" w:rsidRDefault="00BC3C1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:rsidR="00E30395" w:rsidRDefault="00AB062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9" w:type="dxa"/>
          </w:tcPr>
          <w:p w:rsidR="00E30395" w:rsidRDefault="00E30395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30395" w:rsidRDefault="00E30395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C3C14" w:rsidRDefault="00BC3C1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30395" w:rsidRDefault="00AB062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администрации Беляевского района, прокурору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района, в дело.</w:t>
            </w:r>
          </w:p>
        </w:tc>
      </w:tr>
    </w:tbl>
    <w:p w:rsidR="00E30395" w:rsidRDefault="00E30395">
      <w:pPr>
        <w:rPr>
          <w:sz w:val="28"/>
          <w:szCs w:val="28"/>
        </w:rPr>
      </w:pPr>
    </w:p>
    <w:p w:rsidR="00E30395" w:rsidRDefault="00E30395"/>
    <w:p w:rsidR="00E30395" w:rsidRDefault="00E30395"/>
    <w:p w:rsidR="00E30395" w:rsidRDefault="00E30395"/>
    <w:p w:rsidR="00E30395" w:rsidRDefault="00E30395"/>
    <w:p w:rsidR="00E30395" w:rsidRDefault="00E30395"/>
    <w:p w:rsidR="00E30395" w:rsidRDefault="00E30395"/>
    <w:p w:rsidR="00E30395" w:rsidRDefault="00E30395"/>
    <w:p w:rsidR="00E30395" w:rsidRDefault="00AB0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30395" w:rsidRDefault="00AB0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 администрации</w:t>
      </w:r>
    </w:p>
    <w:p w:rsidR="00E30395" w:rsidRDefault="00AB0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30395" w:rsidRDefault="00AB06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Беляевского сельсовета</w:t>
      </w:r>
    </w:p>
    <w:p w:rsidR="00E30395" w:rsidRDefault="00BC3C14">
      <w:pPr>
        <w:suppressAutoHyphens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5600700</wp:posOffset>
            </wp:positionH>
            <wp:positionV relativeFrom="page">
              <wp:posOffset>1952625</wp:posOffset>
            </wp:positionV>
            <wp:extent cx="2924175" cy="361950"/>
            <wp:effectExtent l="19050" t="0" r="9525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395" w:rsidRDefault="00E303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0395" w:rsidRDefault="00E303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E30395" w:rsidRDefault="00AB06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E30395" w:rsidRDefault="00AB06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ОТЧУЖДЕНИЯ ДРЕВЕСИНЫ, НАХОДЯЩЕЙСЯ В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НОЙСОБСТВЕННОСТИ, ПОЛУЧЕННОЙ ИЗ СРУБЛЕННЫХ, </w:t>
      </w:r>
      <w:r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ЛЕННЫХ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РЕЗАННЫХ СТВОЛОВ ДЕРЕВЬЕВ, ПРОИЗРАСТАЮЩИХ НА ЗЕМЕЛЬНЫХУЧАСТКАХ (ИХ ЧАСТЯХ) ИЛИ ЗЕМЛЯХ, НАХ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ДЯЩИХСЯВ МУНИЦИПАЛЬНОЙ СОБСТВЕННОСТИ</w:t>
      </w:r>
    </w:p>
    <w:p w:rsidR="00E30395" w:rsidRDefault="00E3039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отчуждения древесины, находящейся в муниципальной  собственности, получен</w:t>
      </w:r>
      <w:r>
        <w:rPr>
          <w:rFonts w:ascii="Times New Roman" w:hAnsi="Times New Roman" w:cs="Times New Roman"/>
          <w:sz w:val="28"/>
          <w:szCs w:val="28"/>
        </w:rPr>
        <w:t>ной из срубленных, спиленных, срезанных стволов деревьев, произрастающих на земельных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стках (их частях) или землях, находящихся в муниципальной  собственности (далее соответственно - земельные участки, древесина), путем реализации древесины на торгах и </w:t>
      </w:r>
      <w:r>
        <w:rPr>
          <w:rFonts w:ascii="Times New Roman" w:hAnsi="Times New Roman" w:cs="Times New Roman"/>
          <w:sz w:val="28"/>
          <w:szCs w:val="28"/>
        </w:rPr>
        <w:t>без проведения торгов.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Продавцом древесины при ее реализации выступает администрация муниципального образования Беляевского сельсовета (далее - продавец),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торая в целях организации продажи древесины на торгах вправе привлекать юридические лица, а такж</w:t>
      </w:r>
      <w:r>
        <w:rPr>
          <w:rFonts w:ascii="Times New Roman" w:hAnsi="Times New Roman" w:cs="Times New Roman"/>
          <w:sz w:val="28"/>
          <w:szCs w:val="28"/>
        </w:rPr>
        <w:t>е физических лиц, зарегистрированных в качестве индивидуальных предпринимателей, в порядке, предусмотренном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 о контрактной системе в сфере закупок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</w:t>
      </w:r>
      <w:r>
        <w:rPr>
          <w:rFonts w:ascii="Times New Roman" w:hAnsi="Times New Roman" w:cs="Times New Roman"/>
          <w:sz w:val="28"/>
          <w:szCs w:val="28"/>
        </w:rPr>
        <w:t>ужд.</w:t>
      </w:r>
      <w:proofErr w:type="gramEnd"/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по определению начальной цены продажи древесины на ау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ционе на право заключения договора купли-продажи древесины (далее - ау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цион), величины повышения начальной цены продажи древесины на аукци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не, размера задатка, условий аукционов и их измене</w:t>
      </w:r>
      <w:r>
        <w:rPr>
          <w:rFonts w:ascii="Times New Roman" w:hAnsi="Times New Roman" w:cs="Times New Roman"/>
          <w:sz w:val="28"/>
          <w:szCs w:val="28"/>
        </w:rPr>
        <w:t>ний, существенных усл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вий договора купли-продажи древесины (далее - договор купли-продажи), а также по заключению договора купли-продажи осуществляются исключ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 продавцом.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юридических лиц и физических лиц, зарегистрир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ванных в каче</w:t>
      </w:r>
      <w:r>
        <w:rPr>
          <w:rFonts w:ascii="Times New Roman" w:hAnsi="Times New Roman" w:cs="Times New Roman"/>
          <w:sz w:val="28"/>
          <w:szCs w:val="28"/>
        </w:rPr>
        <w:t>стве индивидуальных предпринимателей, которые привлек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 для организации продажи древесины, определяются заключенными с ними государственными контрактами.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Древесина, являющаяся предметом договора купли-продажи и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ченная в перечень, определенный Правительством Российской Федерации в соответствии с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частью 1 статьи 50.1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Лесного кодекса Российской Федерации, должна быть учтена в порядке, установленном Лесным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в том числе при ее транспортировке, хранении, переработке, </w:t>
      </w:r>
      <w:r>
        <w:rPr>
          <w:rFonts w:ascii="Times New Roman" w:hAnsi="Times New Roman" w:cs="Times New Roman"/>
          <w:sz w:val="28"/>
          <w:szCs w:val="28"/>
        </w:rPr>
        <w:t>продаже и передаче.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получения продавцом от лица, использующего 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с земельным законодательством земельный участок и получившего др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весину в результате рубки деревьев, произрастающих на нем (далее - 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ватель земельного участка), </w:t>
      </w:r>
      <w:r>
        <w:rPr>
          <w:rFonts w:ascii="Times New Roman" w:hAnsi="Times New Roman" w:cs="Times New Roman"/>
          <w:sz w:val="28"/>
          <w:szCs w:val="28"/>
        </w:rPr>
        <w:t>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лю земельного участка 2 экземпляра подписанного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договора куп</w:t>
      </w:r>
      <w:r>
        <w:rPr>
          <w:rFonts w:ascii="Times New Roman" w:hAnsi="Times New Roman" w:cs="Times New Roman"/>
          <w:sz w:val="28"/>
          <w:szCs w:val="28"/>
        </w:rPr>
        <w:t>ли-продажи.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Цена древесины определяется продавцом в размере 2-кратной стоим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сти, определенной исходя из объема древесины и ставок платы за единицу объема древесины, установленных в соответствии со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ставками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платы за ед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ницу объема лесных ресурсов и ставками платы за единицу площади лесного участка, находящегося в федеральной собственности, утвержденными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Правительства Российской Федерации от 22 мая 2007 г</w:t>
      </w:r>
      <w:r>
        <w:rPr>
          <w:rFonts w:ascii="Times New Roman" w:hAnsi="Times New Roman" w:cs="Times New Roman"/>
          <w:sz w:val="28"/>
          <w:szCs w:val="28"/>
        </w:rPr>
        <w:t>. N 310 "О ставках платы за единицу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объема лесных ресурсов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платы за един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цу площади лесного участка, находящегося в федеральной собственности" (далее - ставки). При этом применяются ставки, установленные в отношении деловой средней древесины по п</w:t>
      </w:r>
      <w:r>
        <w:rPr>
          <w:rFonts w:ascii="Times New Roman" w:hAnsi="Times New Roman" w:cs="Times New Roman"/>
          <w:sz w:val="28"/>
          <w:szCs w:val="28"/>
        </w:rPr>
        <w:t>ервому разряду такс, без учета примечаний к ставкам.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>
        <w:rPr>
          <w:rFonts w:ascii="Times New Roman" w:hAnsi="Times New Roman" w:cs="Times New Roman"/>
          <w:sz w:val="28"/>
          <w:szCs w:val="28"/>
        </w:rPr>
        <w:t>6. Пользователь земельного участка в течение 10 рабочих дней со дня получения от продавца проекта договора купли-продажи направляет прода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цу подписанный договор купли-продажи и производит полную оплату д</w:t>
      </w:r>
      <w:r>
        <w:rPr>
          <w:rFonts w:ascii="Times New Roman" w:hAnsi="Times New Roman" w:cs="Times New Roman"/>
          <w:sz w:val="28"/>
          <w:szCs w:val="28"/>
        </w:rPr>
        <w:t>рев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сины по реквизитам, предусмотренным договором купли-продажи.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49"/>
      <w:bookmarkEnd w:id="4"/>
      <w:r>
        <w:rPr>
          <w:rFonts w:ascii="Times New Roman" w:hAnsi="Times New Roman" w:cs="Times New Roman"/>
          <w:sz w:val="28"/>
          <w:szCs w:val="28"/>
        </w:rPr>
        <w:t>7. В случае поступления от пользователя земельного участка отказа от выкупа древесины без проведения торгов (далее - отказ от выкупа древес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ны), а также в иных случаях, предусмотренных </w:t>
      </w:r>
      <w:hyperlink w:anchor="P54">
        <w:r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2 настоящих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вил, продавец осуществляет реализацию древесины путем проведения ау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циона в электронной форме в соответствии с </w:t>
      </w:r>
      <w:hyperlink w:anchor="P59">
        <w:r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3 настоящих Правил.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Согласие на выкуп древесины либо отказ от выкуп</w:t>
      </w:r>
      <w:r>
        <w:rPr>
          <w:rFonts w:ascii="Times New Roman" w:hAnsi="Times New Roman" w:cs="Times New Roman"/>
          <w:sz w:val="28"/>
          <w:szCs w:val="28"/>
        </w:rPr>
        <w:t>а древесины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правляется продавцу пользователем земельного участка в течение 3 рабочих дней после завершения рубки деревьев и должны содержать следующие 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дения: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местонахождении земельного участка с указанием кадастрового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мера;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основаниях осу</w:t>
      </w:r>
      <w:r>
        <w:rPr>
          <w:rFonts w:ascii="Times New Roman" w:hAnsi="Times New Roman" w:cs="Times New Roman"/>
          <w:sz w:val="28"/>
          <w:szCs w:val="28"/>
        </w:rPr>
        <w:t>ществления рубки на земельном участке;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сроке завершения рубки на земельном участке;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 местонахождении древесины (в том числе о подъездных путях и (или) дорогах к месту нахождения древесины), объеме и породном составе полученной древесины.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Кроме </w:t>
      </w:r>
      <w:r>
        <w:rPr>
          <w:rFonts w:ascii="Times New Roman" w:hAnsi="Times New Roman" w:cs="Times New Roman"/>
          <w:sz w:val="28"/>
          <w:szCs w:val="28"/>
        </w:rPr>
        <w:t>сведений, установленных пунктом 8 настоящих Правил, согл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сие на выкуп древесины должно содержать наименование юридического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ца, фамилию, имя, отчество - для физического лица.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согласию на выкуп древесины прилагаются следующие документы: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копии документ</w:t>
      </w:r>
      <w:r>
        <w:rPr>
          <w:rFonts w:ascii="Times New Roman" w:hAnsi="Times New Roman" w:cs="Times New Roman"/>
          <w:sz w:val="28"/>
          <w:szCs w:val="28"/>
        </w:rPr>
        <w:t>ов, подтверждающих полномочия руководителя юр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дического лица (для юридического лица) или иного уполномоченного лица (для юридического лица и индивидуального предпринимателя);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физического лица,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тариально завере</w:t>
      </w:r>
      <w:r>
        <w:rPr>
          <w:rFonts w:ascii="Times New Roman" w:hAnsi="Times New Roman" w:cs="Times New Roman"/>
          <w:sz w:val="28"/>
          <w:szCs w:val="28"/>
        </w:rPr>
        <w:t>нная копия доверенности, подтверждающая полномочия представителя физического лица, фамилия, имя, отчество (при наличии),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 жительства, идентификационный номер налогоплательщика (при нал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чии) представителя (в случае направления согласия на выкуп древеси</w:t>
      </w:r>
      <w:r>
        <w:rPr>
          <w:rFonts w:ascii="Times New Roman" w:hAnsi="Times New Roman" w:cs="Times New Roman"/>
          <w:sz w:val="28"/>
          <w:szCs w:val="28"/>
        </w:rPr>
        <w:t>ны представителем).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представленной продавцу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мации о полученной древесине несет пользователь земельного участка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Федерации, условиями договора (соглашения), предусматрива</w:t>
      </w:r>
      <w:r>
        <w:rPr>
          <w:rFonts w:ascii="Times New Roman" w:hAnsi="Times New Roman" w:cs="Times New Roman"/>
          <w:sz w:val="28"/>
          <w:szCs w:val="28"/>
        </w:rPr>
        <w:t>ющего переход прав владения и (или) пользов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в отношении земельного участка, условиями разрешения на использов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земель или земельного участка.</w:t>
      </w:r>
      <w:proofErr w:type="gramEnd"/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Взаимодействие продавца и пользователя земельного участка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ствляется посредством электронной почты,</w:t>
      </w:r>
      <w:r>
        <w:rPr>
          <w:rFonts w:ascii="Times New Roman" w:hAnsi="Times New Roman" w:cs="Times New Roman"/>
          <w:sz w:val="28"/>
          <w:szCs w:val="28"/>
        </w:rPr>
        <w:t xml:space="preserve"> а при отсутствии технической возможности обмена информацией в электронной форме такой обмен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ствляется на бумажном носителе посредством почтовой связи.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4"/>
      <w:bookmarkEnd w:id="5"/>
      <w:r>
        <w:rPr>
          <w:rFonts w:ascii="Times New Roman" w:hAnsi="Times New Roman" w:cs="Times New Roman"/>
          <w:sz w:val="28"/>
          <w:szCs w:val="28"/>
        </w:rPr>
        <w:t>12. Реализация древесины пользователю земельного участка без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дения торгов не осуществляется в </w:t>
      </w:r>
      <w:r>
        <w:rPr>
          <w:rFonts w:ascii="Times New Roman" w:hAnsi="Times New Roman" w:cs="Times New Roman"/>
          <w:sz w:val="28"/>
          <w:szCs w:val="28"/>
        </w:rPr>
        <w:t>случае: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отсутствия пользователя земельного участка;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непредставления пользователем земельного участка документов,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тверждающих право на осуществление рубки деревьев на земельном участке;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несоответствия поступившего согласия на выкуп древесины и п</w:t>
      </w:r>
      <w:r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гаемых к нему документов требованиям пунктов  8 и 9 настоящих Правил;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продавцу от пользователя земельного участка подп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санного договора купли-продажи и полной оплаты древесины по истечении 20 рабочих дней со дня направления продавцом п</w:t>
      </w:r>
      <w:r>
        <w:rPr>
          <w:rFonts w:ascii="Times New Roman" w:hAnsi="Times New Roman" w:cs="Times New Roman"/>
          <w:sz w:val="28"/>
          <w:szCs w:val="28"/>
        </w:rPr>
        <w:t>роекта договора купли-продажи пользователю земельного участка.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59"/>
      <w:bookmarkEnd w:id="6"/>
      <w:r>
        <w:rPr>
          <w:rFonts w:ascii="Times New Roman" w:hAnsi="Times New Roman" w:cs="Times New Roman"/>
          <w:sz w:val="28"/>
          <w:szCs w:val="28"/>
        </w:rPr>
        <w:t xml:space="preserve">13. В случаях, указанных в </w:t>
      </w:r>
      <w:hyperlink w:anchor="P49">
        <w:r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7 и </w:t>
      </w:r>
      <w:hyperlink w:anchor="P54"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2 настоящих Правил, реализ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древесины осуществляется путем проведения аукциона в электронной форме.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 Начальная цена продажи древесины на аукционе определяется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давцом в порядке, предусмотренном </w:t>
      </w:r>
      <w:hyperlink w:anchor="P47">
        <w:r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61"/>
      <w:bookmarkEnd w:id="7"/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по истечении срока, установленного информационным сообщением о проведении аукциона, после</w:t>
      </w:r>
      <w:r>
        <w:rPr>
          <w:rFonts w:ascii="Times New Roman" w:hAnsi="Times New Roman" w:cs="Times New Roman"/>
          <w:sz w:val="28"/>
          <w:szCs w:val="28"/>
        </w:rPr>
        <w:t xml:space="preserve"> снижения начальной цены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дажи древесины на 90 процентов аукцион признается несостоявшимся,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давец в течение 3 рабочих дней после подписания протокола о признании аукциона несостоявшимся направляет пользователю земельного участка предложение о приобрет</w:t>
      </w:r>
      <w:r>
        <w:rPr>
          <w:rFonts w:ascii="Times New Roman" w:hAnsi="Times New Roman" w:cs="Times New Roman"/>
          <w:sz w:val="28"/>
          <w:szCs w:val="28"/>
        </w:rPr>
        <w:t>ении древесины по последней сниженной начальной цене, по которой древесина предлагалась к реализации на аукционе (далее - последняя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сниженная начальная цена), с приложением 2 экземпляров подп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санного проекта договора купли-продажи.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случае согласия по</w:t>
      </w:r>
      <w:r>
        <w:rPr>
          <w:rFonts w:ascii="Times New Roman" w:hAnsi="Times New Roman" w:cs="Times New Roman"/>
          <w:sz w:val="28"/>
          <w:szCs w:val="28"/>
        </w:rPr>
        <w:t xml:space="preserve">льзователя земельного участка на приобретение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древесины по последней сниженной начальной цене пользователь земельного участка в срок, предусмотренный </w:t>
      </w:r>
      <w:hyperlink w:anchor="P48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6 настоящих Правил, направляет продавцу подписанный договор купли-продажи </w:t>
      </w:r>
      <w:r>
        <w:rPr>
          <w:rFonts w:ascii="Times New Roman" w:hAnsi="Times New Roman" w:cs="Times New Roman"/>
          <w:sz w:val="28"/>
          <w:szCs w:val="28"/>
        </w:rPr>
        <w:t>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сины по последней сниженной начальной цене пользователь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стка направляет прод</w:t>
      </w:r>
      <w:r>
        <w:rPr>
          <w:rFonts w:ascii="Times New Roman" w:hAnsi="Times New Roman" w:cs="Times New Roman"/>
          <w:sz w:val="28"/>
          <w:szCs w:val="28"/>
        </w:rPr>
        <w:t>авцу отказ от выкупа древесины.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признании аукциона в соответствии с </w:t>
      </w:r>
      <w:hyperlink w:anchor="P61">
        <w:r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5 настоящих Правил несостоявшимся, отказе пользователя земельного участка от прио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ретения древесины по последней сниженной начальной цене или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ступлении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продавцу от пользователя земельного участка по истечении 20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бочих дней со дня направления продавцом предложения о приобретении др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весины по последней сниженной начальной цене подписанного договора 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пли-продажи и полной оплаты древесины или</w:t>
      </w:r>
      <w:r>
        <w:rPr>
          <w:rFonts w:ascii="Times New Roman" w:hAnsi="Times New Roman" w:cs="Times New Roman"/>
          <w:sz w:val="28"/>
          <w:szCs w:val="28"/>
        </w:rPr>
        <w:t xml:space="preserve"> отказа пользователя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участка от приобретения древесины по последней сниженной начальной цене отчуждение древесины может осуществляться путем направления др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весины на повторную реализацию в порядке, установленном пунктом 13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стоящих Правил, и ин</w:t>
      </w:r>
      <w:r>
        <w:rPr>
          <w:rFonts w:ascii="Times New Roman" w:hAnsi="Times New Roman" w:cs="Times New Roman"/>
          <w:sz w:val="28"/>
          <w:szCs w:val="28"/>
        </w:rPr>
        <w:t>ыми способами, не противоречащими законодательству Российской Федерации.</w:t>
      </w:r>
    </w:p>
    <w:p w:rsidR="00E30395" w:rsidRDefault="00AB062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Договор купли-продажи должен содержать условия о возникновении у покупателя древесины права собственности на древесину после полной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латы ее цены, моменте передачи древесины ее п</w:t>
      </w:r>
      <w:r>
        <w:rPr>
          <w:rFonts w:ascii="Times New Roman" w:hAnsi="Times New Roman" w:cs="Times New Roman"/>
          <w:sz w:val="28"/>
          <w:szCs w:val="28"/>
        </w:rPr>
        <w:t>окупателю, а также условия и сроки вывоза покупателем древесины. Древесина считается переданной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p w:rsidR="00E30395" w:rsidRDefault="00E3039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0395" w:rsidRDefault="00E3039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0395" w:rsidRDefault="00E3039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0395" w:rsidRDefault="00E30395"/>
    <w:sectPr w:rsidR="00E30395" w:rsidSect="00E3039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30395"/>
    <w:rsid w:val="00AB062F"/>
    <w:rsid w:val="00BC3C14"/>
    <w:rsid w:val="00E3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6CE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E30395"/>
    <w:rPr>
      <w:color w:val="000080"/>
      <w:u w:val="single"/>
    </w:rPr>
  </w:style>
  <w:style w:type="paragraph" w:customStyle="1" w:styleId="Heading">
    <w:name w:val="Heading"/>
    <w:basedOn w:val="a"/>
    <w:next w:val="a6"/>
    <w:qFormat/>
    <w:rsid w:val="0052688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526884"/>
    <w:pPr>
      <w:spacing w:after="140" w:line="276" w:lineRule="auto"/>
    </w:pPr>
  </w:style>
  <w:style w:type="paragraph" w:styleId="a7">
    <w:name w:val="List"/>
    <w:basedOn w:val="a6"/>
    <w:rsid w:val="00526884"/>
  </w:style>
  <w:style w:type="paragraph" w:customStyle="1" w:styleId="Caption">
    <w:name w:val="Caption"/>
    <w:basedOn w:val="a"/>
    <w:qFormat/>
    <w:rsid w:val="00E3039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26884"/>
    <w:pPr>
      <w:suppressLineNumbers/>
    </w:pPr>
  </w:style>
  <w:style w:type="paragraph" w:customStyle="1" w:styleId="1">
    <w:name w:val="Название объекта1"/>
    <w:basedOn w:val="a"/>
    <w:qFormat/>
    <w:rsid w:val="00526884"/>
    <w:pPr>
      <w:suppressLineNumbers/>
      <w:spacing w:before="120" w:after="120"/>
    </w:pPr>
    <w:rPr>
      <w:i/>
      <w:iCs/>
    </w:rPr>
  </w:style>
  <w:style w:type="paragraph" w:styleId="a8">
    <w:name w:val="List Paragraph"/>
    <w:basedOn w:val="a"/>
    <w:uiPriority w:val="34"/>
    <w:qFormat/>
    <w:rsid w:val="00E967BC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F36C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51EB8"/>
    <w:pPr>
      <w:widowControl w:val="0"/>
      <w:suppressAutoHyphens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551EB8"/>
    <w:pPr>
      <w:widowControl w:val="0"/>
      <w:suppressAutoHyphens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674&amp;dst=1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229&amp;dst=10008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51821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1685</Words>
  <Characters>9611</Characters>
  <Application>Microsoft Office Word</Application>
  <DocSecurity>0</DocSecurity>
  <Lines>80</Lines>
  <Paragraphs>22</Paragraphs>
  <ScaleCrop>false</ScaleCrop>
  <Company>Microsoft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2026-05-13T12:45:00Z</cp:lastPrinted>
  <dcterms:created xsi:type="dcterms:W3CDTF">2026-05-13T12:45:00Z</dcterms:created>
  <dcterms:modified xsi:type="dcterms:W3CDTF">2026-05-13T12:46:00Z</dcterms:modified>
  <dc:language>ru-RU</dc:language>
</cp:coreProperties>
</file>